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16</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1</w:t>
            </w:r>
            <w:r>
              <w:rPr>
                <w:rFonts w:hint="eastAsia"/>
                <w:lang w:val="en-US" w:eastAsia="zh-CN"/>
              </w:rPr>
              <w:t>4</w:t>
            </w:r>
            <w:r>
              <w:fldChar w:fldCharType="end"/>
            </w:r>
            <w:bookmarkEnd w:id="3"/>
          </w:p>
        </w:tc>
      </w:tr>
    </w:tbl>
    <w:p>
      <w:pPr>
        <w:pStyle w:val="52"/>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番茄潜叶蛾测报技术规范</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山西省市场监督管理局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3"/>
        <w:spacing w:after="468"/>
      </w:pPr>
      <w:bookmarkStart w:id="21" w:name="BookMark1"/>
      <w:bookmarkStart w:id="22" w:name="_Toc127286526"/>
      <w:r>
        <w:rPr>
          <w:rFonts w:hint="eastAsia"/>
          <w:spacing w:val="320"/>
        </w:rPr>
        <w:t>目</w:t>
      </w:r>
      <w:r>
        <w:rPr>
          <w:rFonts w:hint="eastAsia"/>
        </w:rPr>
        <w:t>次</w:t>
      </w:r>
    </w:p>
    <w:p>
      <w:pPr>
        <w:pStyle w:val="20"/>
        <w:tabs>
          <w:tab w:val="right" w:leader="dot" w:pos="9354"/>
        </w:tabs>
      </w:pPr>
      <w:r>
        <w:fldChar w:fldCharType="begin"/>
      </w:r>
      <w:r>
        <w:instrText xml:space="preserve"> TOC \o "1-1" \h </w:instrText>
      </w:r>
      <w:r>
        <w:fldChar w:fldCharType="separate"/>
      </w:r>
      <w:r>
        <w:fldChar w:fldCharType="begin"/>
      </w:r>
      <w:r>
        <w:instrText xml:space="preserve"> HYPERLINK \l _Toc1104963068 </w:instrText>
      </w:r>
      <w:r>
        <w:fldChar w:fldCharType="separate"/>
      </w:r>
      <w:r>
        <w:rPr>
          <w:spacing w:val="320"/>
        </w:rPr>
        <w:t>前</w:t>
      </w:r>
      <w:r>
        <w:t>言</w:t>
      </w:r>
      <w:r>
        <w:tab/>
      </w:r>
      <w:r>
        <w:fldChar w:fldCharType="begin"/>
      </w:r>
      <w:r>
        <w:instrText xml:space="preserve"> PAGEREF _Toc1104963068 </w:instrText>
      </w:r>
      <w:r>
        <w:fldChar w:fldCharType="separate"/>
      </w:r>
      <w:r>
        <w:t>II</w:t>
      </w:r>
      <w:r>
        <w:fldChar w:fldCharType="end"/>
      </w:r>
      <w:r>
        <w:fldChar w:fldCharType="end"/>
      </w:r>
    </w:p>
    <w:p>
      <w:pPr>
        <w:pStyle w:val="20"/>
        <w:tabs>
          <w:tab w:val="right" w:leader="dot" w:pos="9354"/>
        </w:tabs>
      </w:pPr>
      <w:r>
        <w:fldChar w:fldCharType="begin"/>
      </w:r>
      <w:r>
        <w:instrText xml:space="preserve"> HYPERLINK \l _Toc1223751301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_Toc1223751301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_Toc877017951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_Toc877017951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_Toc1029463689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_Toc1029463689 </w:instrText>
      </w:r>
      <w:r>
        <w:fldChar w:fldCharType="separate"/>
      </w:r>
      <w:r>
        <w:t>1</w:t>
      </w:r>
      <w:r>
        <w:fldChar w:fldCharType="end"/>
      </w:r>
      <w:r>
        <w:fldChar w:fldCharType="end"/>
      </w:r>
    </w:p>
    <w:p>
      <w:pPr>
        <w:pStyle w:val="20"/>
        <w:tabs>
          <w:tab w:val="right" w:leader="dot" w:pos="9354"/>
        </w:tabs>
      </w:pPr>
      <w:r>
        <w:fldChar w:fldCharType="begin"/>
      </w:r>
      <w:r>
        <w:instrText xml:space="preserve"> HYPERLINK \l _Toc327670000 </w:instrText>
      </w:r>
      <w:r>
        <w:fldChar w:fldCharType="separate"/>
      </w:r>
      <w:r>
        <w:rPr>
          <w:rFonts w:hint="eastAsia" w:ascii="黑体" w:eastAsia="黑体"/>
          <w:bCs/>
          <w:i w:val="0"/>
          <w:szCs w:val="21"/>
        </w:rPr>
        <w:t xml:space="preserve">4 </w:t>
      </w:r>
      <w:r>
        <w:rPr>
          <w:rFonts w:hint="eastAsia" w:ascii="Times New Roman"/>
          <w:bCs/>
          <w:szCs w:val="21"/>
          <w:lang w:eastAsia="zh-CN"/>
        </w:rPr>
        <w:t>调查作物</w:t>
      </w:r>
      <w:r>
        <w:tab/>
      </w:r>
      <w:r>
        <w:fldChar w:fldCharType="begin"/>
      </w:r>
      <w:r>
        <w:instrText xml:space="preserve"> PAGEREF _Toc327670000 </w:instrText>
      </w:r>
      <w:r>
        <w:fldChar w:fldCharType="separate"/>
      </w:r>
      <w:r>
        <w:t>2</w:t>
      </w:r>
      <w:r>
        <w:fldChar w:fldCharType="end"/>
      </w:r>
      <w:r>
        <w:fldChar w:fldCharType="end"/>
      </w:r>
    </w:p>
    <w:p>
      <w:pPr>
        <w:pStyle w:val="20"/>
        <w:tabs>
          <w:tab w:val="right" w:leader="dot" w:pos="9354"/>
        </w:tabs>
      </w:pPr>
      <w:r>
        <w:fldChar w:fldCharType="begin"/>
      </w:r>
      <w:r>
        <w:instrText xml:space="preserve"> HYPERLINK \l _Toc38063993 </w:instrText>
      </w:r>
      <w:r>
        <w:fldChar w:fldCharType="separate"/>
      </w:r>
      <w:r>
        <w:rPr>
          <w:rFonts w:hint="eastAsia" w:ascii="黑体" w:eastAsia="黑体"/>
          <w:bCs/>
          <w:i w:val="0"/>
          <w:szCs w:val="21"/>
        </w:rPr>
        <w:t xml:space="preserve">5 </w:t>
      </w:r>
      <w:r>
        <w:rPr>
          <w:rFonts w:ascii="Times New Roman"/>
          <w:bCs/>
          <w:szCs w:val="21"/>
        </w:rPr>
        <w:t>系统调查</w:t>
      </w:r>
      <w:r>
        <w:tab/>
      </w:r>
      <w:r>
        <w:fldChar w:fldCharType="begin"/>
      </w:r>
      <w:r>
        <w:instrText xml:space="preserve"> PAGEREF _Toc38063993 </w:instrText>
      </w:r>
      <w:r>
        <w:fldChar w:fldCharType="separate"/>
      </w:r>
      <w:r>
        <w:t>2</w:t>
      </w:r>
      <w:r>
        <w:fldChar w:fldCharType="end"/>
      </w:r>
      <w:r>
        <w:fldChar w:fldCharType="end"/>
      </w:r>
    </w:p>
    <w:p>
      <w:pPr>
        <w:pStyle w:val="20"/>
        <w:tabs>
          <w:tab w:val="right" w:leader="dot" w:pos="9354"/>
        </w:tabs>
      </w:pPr>
      <w:r>
        <w:fldChar w:fldCharType="begin"/>
      </w:r>
      <w:r>
        <w:instrText xml:space="preserve"> HYPERLINK \l _Toc1907627710 </w:instrText>
      </w:r>
      <w:r>
        <w:fldChar w:fldCharType="separate"/>
      </w:r>
      <w:r>
        <w:rPr>
          <w:rFonts w:hint="eastAsia" w:ascii="黑体" w:eastAsia="黑体"/>
          <w:i w:val="0"/>
        </w:rPr>
        <w:t xml:space="preserve">6 </w:t>
      </w:r>
      <w:r>
        <w:rPr>
          <w:rFonts w:hint="eastAsia"/>
        </w:rPr>
        <w:t>大田普查</w:t>
      </w:r>
      <w:r>
        <w:tab/>
      </w:r>
      <w:r>
        <w:fldChar w:fldCharType="begin"/>
      </w:r>
      <w:r>
        <w:instrText xml:space="preserve"> PAGEREF _Toc1907627710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_Toc42592168 </w:instrText>
      </w:r>
      <w:r>
        <w:fldChar w:fldCharType="separate"/>
      </w:r>
      <w:r>
        <w:rPr>
          <w:rFonts w:hint="eastAsia" w:ascii="黑体" w:eastAsia="黑体"/>
          <w:bCs/>
          <w:i w:val="0"/>
          <w:szCs w:val="21"/>
        </w:rPr>
        <w:t xml:space="preserve">7 </w:t>
      </w:r>
      <w:r>
        <w:rPr>
          <w:rFonts w:ascii="Times New Roman"/>
          <w:bCs/>
          <w:szCs w:val="21"/>
        </w:rPr>
        <w:t>发生程度分级指</w:t>
      </w:r>
      <w:r>
        <w:rPr>
          <w:rFonts w:hint="eastAsia" w:ascii="Times New Roman"/>
          <w:bCs/>
          <w:szCs w:val="21"/>
        </w:rPr>
        <w:t>标</w:t>
      </w:r>
      <w:r>
        <w:tab/>
      </w:r>
      <w:r>
        <w:fldChar w:fldCharType="begin"/>
      </w:r>
      <w:r>
        <w:instrText xml:space="preserve"> PAGEREF _Toc42592168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_Toc2134209841 </w:instrText>
      </w:r>
      <w:r>
        <w:fldChar w:fldCharType="separate"/>
      </w:r>
      <w:r>
        <w:rPr>
          <w:rFonts w:hint="eastAsia" w:ascii="黑体" w:eastAsia="黑体"/>
          <w:i w:val="0"/>
        </w:rPr>
        <w:t xml:space="preserve">8 </w:t>
      </w:r>
      <w:r>
        <w:rPr>
          <w:rFonts w:hint="eastAsia"/>
        </w:rPr>
        <w:t>预测预报</w:t>
      </w:r>
      <w:r>
        <w:tab/>
      </w:r>
      <w:r>
        <w:fldChar w:fldCharType="begin"/>
      </w:r>
      <w:r>
        <w:instrText xml:space="preserve"> PAGEREF _Toc2134209841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_Toc827574547 </w:instrText>
      </w:r>
      <w:r>
        <w:fldChar w:fldCharType="separate"/>
      </w:r>
      <w:r>
        <w:rPr>
          <w:rFonts w:hint="eastAsia" w:ascii="黑体" w:eastAsia="黑体"/>
          <w:i w:val="0"/>
        </w:rPr>
        <w:t xml:space="preserve">9 </w:t>
      </w:r>
      <w:r>
        <w:rPr>
          <w:rFonts w:hint="eastAsia"/>
          <w:lang w:eastAsia="zh-CN"/>
        </w:rPr>
        <w:t>资料存档</w:t>
      </w:r>
      <w:r>
        <w:tab/>
      </w:r>
      <w:r>
        <w:fldChar w:fldCharType="begin"/>
      </w:r>
      <w:r>
        <w:instrText xml:space="preserve"> PAGEREF _Toc827574547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_Toc1628605549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番茄潜叶蛾种类描述及识别</w:t>
      </w:r>
      <w:r>
        <w:tab/>
      </w:r>
      <w:r>
        <w:fldChar w:fldCharType="begin"/>
      </w:r>
      <w:r>
        <w:instrText xml:space="preserve"> PAGEREF _Toc1628605549 </w:instrText>
      </w:r>
      <w:r>
        <w:fldChar w:fldCharType="separate"/>
      </w:r>
      <w:r>
        <w:t>5</w:t>
      </w:r>
      <w:r>
        <w:fldChar w:fldCharType="end"/>
      </w:r>
      <w:r>
        <w:fldChar w:fldCharType="end"/>
      </w:r>
    </w:p>
    <w:p>
      <w:pPr>
        <w:pStyle w:val="93"/>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after="468"/>
      </w:pPr>
      <w:bookmarkStart w:id="23" w:name="_Toc1104963068"/>
      <w:bookmarkStart w:id="24" w:name="BookMark2"/>
      <w:r>
        <w:rPr>
          <w:spacing w:val="320"/>
        </w:rPr>
        <w:t>前</w:t>
      </w:r>
      <w:r>
        <w:t>言</w:t>
      </w:r>
      <w:bookmarkEnd w:id="22"/>
      <w:bookmarkEnd w:id="23"/>
    </w:p>
    <w:p>
      <w:pPr>
        <w:pStyle w:val="58"/>
        <w:ind w:firstLine="420"/>
      </w:pPr>
      <w:r>
        <w:rPr>
          <w:rFonts w:hint="eastAsia"/>
        </w:rPr>
        <w:t>本文件按照GB/T 1.1—2020《标准化工作导则  第1部分：标准化文件的结构和起草规则》的规定起草。</w:t>
      </w:r>
    </w:p>
    <w:p>
      <w:pPr>
        <w:pStyle w:val="58"/>
        <w:ind w:firstLine="420"/>
        <w:rPr>
          <w:rFonts w:ascii="Times New Roman"/>
          <w:szCs w:val="21"/>
        </w:rPr>
      </w:pPr>
      <w:r>
        <w:rPr>
          <w:rFonts w:ascii="Times New Roman"/>
          <w:szCs w:val="21"/>
        </w:rPr>
        <w:t>本文件由山西省农业农村厅提出</w:t>
      </w:r>
      <w:r>
        <w:rPr>
          <w:rFonts w:hint="eastAsia" w:ascii="Times New Roman"/>
          <w:szCs w:val="21"/>
        </w:rPr>
        <w:t>，组织实施和</w:t>
      </w:r>
      <w:r>
        <w:rPr>
          <w:rFonts w:ascii="Times New Roman"/>
          <w:szCs w:val="21"/>
        </w:rPr>
        <w:t>监督</w:t>
      </w:r>
      <w:r>
        <w:rPr>
          <w:rFonts w:hint="eastAsia" w:ascii="Times New Roman"/>
          <w:szCs w:val="21"/>
        </w:rPr>
        <w:t>检查</w:t>
      </w:r>
      <w:r>
        <w:rPr>
          <w:rFonts w:ascii="Times New Roman"/>
          <w:szCs w:val="21"/>
        </w:rPr>
        <w:t>。</w:t>
      </w:r>
    </w:p>
    <w:p>
      <w:pPr>
        <w:pStyle w:val="58"/>
        <w:ind w:firstLine="420"/>
        <w:rPr>
          <w:rFonts w:ascii="Times New Roman"/>
          <w:szCs w:val="21"/>
        </w:rPr>
      </w:pPr>
      <w:r>
        <w:rPr>
          <w:rFonts w:hint="eastAsia" w:ascii="Times New Roman"/>
          <w:szCs w:val="21"/>
        </w:rPr>
        <w:t>本文件由山西省市场监督管理局对标准的实施情况进行监督检查。</w:t>
      </w:r>
    </w:p>
    <w:p>
      <w:pPr>
        <w:pStyle w:val="58"/>
        <w:ind w:firstLine="420"/>
        <w:rPr>
          <w:rFonts w:ascii="Times New Roman"/>
          <w:szCs w:val="21"/>
        </w:rPr>
      </w:pPr>
      <w:r>
        <w:rPr>
          <w:rFonts w:ascii="Times New Roman"/>
          <w:szCs w:val="21"/>
        </w:rPr>
        <w:t>本文件由山西省农业标准化技术委员会</w:t>
      </w:r>
      <w:r>
        <w:rPr>
          <w:rFonts w:hint="eastAsia" w:ascii="Times New Roman"/>
          <w:szCs w:val="21"/>
          <w:lang w:eastAsia="zh-CN"/>
        </w:rPr>
        <w:t>（</w:t>
      </w:r>
      <w:r>
        <w:rPr>
          <w:rFonts w:hint="eastAsia" w:ascii="Times New Roman"/>
          <w:szCs w:val="21"/>
          <w:lang w:val="en-US" w:eastAsia="zh-CN"/>
        </w:rPr>
        <w:t>SXS/TC 19</w:t>
      </w:r>
      <w:r>
        <w:rPr>
          <w:rFonts w:hint="eastAsia" w:ascii="Times New Roman"/>
          <w:szCs w:val="21"/>
          <w:lang w:eastAsia="zh-CN"/>
        </w:rPr>
        <w:t>）</w:t>
      </w:r>
      <w:r>
        <w:rPr>
          <w:rFonts w:ascii="Times New Roman"/>
          <w:szCs w:val="21"/>
        </w:rPr>
        <w:t>归口。</w:t>
      </w:r>
    </w:p>
    <w:p>
      <w:pPr>
        <w:pStyle w:val="58"/>
        <w:ind w:firstLine="420"/>
        <w:rPr>
          <w:rFonts w:ascii="Times New Roman"/>
          <w:szCs w:val="21"/>
        </w:rPr>
      </w:pPr>
      <w:r>
        <w:rPr>
          <w:rFonts w:ascii="Times New Roman"/>
          <w:szCs w:val="21"/>
        </w:rPr>
        <w:t>本文件起草单位：山西省植物保护植物检疫中心</w:t>
      </w:r>
      <w:r>
        <w:rPr>
          <w:rFonts w:hint="eastAsia" w:ascii="Times New Roman"/>
          <w:szCs w:val="21"/>
        </w:rPr>
        <w:t>、山西省植物保护学会</w:t>
      </w:r>
    </w:p>
    <w:p>
      <w:pPr>
        <w:pStyle w:val="58"/>
        <w:ind w:firstLine="420"/>
        <w:rPr>
          <w:rFonts w:hint="eastAsia" w:eastAsia="宋体"/>
          <w:lang w:eastAsia="zh-CN"/>
        </w:rPr>
      </w:pPr>
      <w:r>
        <w:rPr>
          <w:rFonts w:ascii="Times New Roman"/>
          <w:szCs w:val="21"/>
        </w:rPr>
        <w:t>本文件主要起草人：张东霞</w:t>
      </w:r>
      <w:r>
        <w:rPr>
          <w:rFonts w:hint="eastAsia" w:ascii="Times New Roman"/>
          <w:szCs w:val="21"/>
          <w:lang w:eastAsia="zh-CN"/>
        </w:rPr>
        <w:t>、</w:t>
      </w:r>
      <w:r>
        <w:rPr>
          <w:rFonts w:ascii="Times New Roman"/>
          <w:szCs w:val="21"/>
        </w:rPr>
        <w:t>尹祥杰</w:t>
      </w:r>
      <w:r>
        <w:rPr>
          <w:rFonts w:hint="eastAsia" w:ascii="Times New Roman"/>
          <w:szCs w:val="21"/>
          <w:lang w:eastAsia="zh-CN"/>
        </w:rPr>
        <w:t>、</w:t>
      </w:r>
      <w:r>
        <w:rPr>
          <w:rFonts w:ascii="Times New Roman"/>
          <w:szCs w:val="21"/>
        </w:rPr>
        <w:t>郑卫锋</w:t>
      </w:r>
      <w:r>
        <w:rPr>
          <w:rFonts w:hint="eastAsia" w:ascii="Times New Roman"/>
          <w:szCs w:val="21"/>
          <w:lang w:eastAsia="zh-CN"/>
        </w:rPr>
        <w:t>、</w:t>
      </w:r>
      <w:r>
        <w:rPr>
          <w:rFonts w:ascii="Times New Roman"/>
          <w:szCs w:val="21"/>
        </w:rPr>
        <w:t>郝赤</w:t>
      </w:r>
      <w:r>
        <w:rPr>
          <w:rFonts w:hint="eastAsia" w:ascii="Times New Roman"/>
          <w:szCs w:val="21"/>
          <w:lang w:eastAsia="zh-CN"/>
        </w:rPr>
        <w:t>、</w:t>
      </w:r>
      <w:r>
        <w:rPr>
          <w:rFonts w:ascii="Times New Roman"/>
          <w:szCs w:val="21"/>
        </w:rPr>
        <w:t>刘琼</w:t>
      </w:r>
      <w:r>
        <w:rPr>
          <w:rFonts w:hint="eastAsia" w:ascii="Times New Roman"/>
          <w:szCs w:val="21"/>
          <w:lang w:eastAsia="zh-CN"/>
        </w:rPr>
        <w:t>、</w:t>
      </w:r>
      <w:r>
        <w:rPr>
          <w:rFonts w:hint="eastAsia" w:ascii="Times New Roman"/>
          <w:szCs w:val="21"/>
        </w:rPr>
        <w:t>曹庆、朱艳天</w:t>
      </w:r>
      <w:r>
        <w:rPr>
          <w:rFonts w:hint="eastAsia" w:ascii="Times New Roman"/>
          <w:szCs w:val="21"/>
          <w:lang w:eastAsia="zh-CN"/>
        </w:rPr>
        <w:t>、</w:t>
      </w:r>
      <w:r>
        <w:rPr>
          <w:rFonts w:ascii="Times New Roman"/>
          <w:szCs w:val="21"/>
        </w:rPr>
        <w:t>王丽英</w:t>
      </w:r>
      <w:r>
        <w:rPr>
          <w:rFonts w:hint="eastAsia" w:ascii="Times New Roman"/>
          <w:szCs w:val="21"/>
          <w:lang w:eastAsia="zh-CN"/>
        </w:rPr>
        <w:t>、</w:t>
      </w:r>
      <w:r>
        <w:rPr>
          <w:rFonts w:ascii="Times New Roman"/>
          <w:szCs w:val="21"/>
        </w:rPr>
        <w:t>刘一景</w:t>
      </w:r>
      <w:r>
        <w:rPr>
          <w:rFonts w:hint="eastAsia" w:ascii="Times New Roman"/>
          <w:szCs w:val="21"/>
          <w:lang w:eastAsia="zh-CN"/>
        </w:rPr>
        <w:t>、庾琴、</w:t>
      </w:r>
      <w:r>
        <w:rPr>
          <w:rFonts w:hint="eastAsia" w:ascii="Times New Roman"/>
          <w:szCs w:val="21"/>
        </w:rPr>
        <w:t>王莉</w:t>
      </w:r>
      <w:r>
        <w:rPr>
          <w:rFonts w:hint="eastAsia" w:ascii="Times New Roman"/>
          <w:szCs w:val="21"/>
          <w:lang w:eastAsia="zh-CN"/>
        </w:rPr>
        <w:t>。</w:t>
      </w:r>
    </w:p>
    <w:p>
      <w:pPr>
        <w:pStyle w:val="58"/>
        <w:ind w:firstLine="420"/>
      </w:pPr>
    </w:p>
    <w:p>
      <w:pPr>
        <w:pStyle w:val="58"/>
        <w:ind w:firstLine="420"/>
      </w:pPr>
    </w:p>
    <w:p>
      <w:pPr>
        <w:pStyle w:val="58"/>
        <w:ind w:firstLine="420"/>
        <w:sectPr>
          <w:pgSz w:w="11906" w:h="16838"/>
          <w:pgMar w:top="567"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6505B59D7BF04EE6BACE8A0D5F501B5D"/>
        </w:placeholder>
      </w:sdtPr>
      <w:sdtContent>
        <w:p>
          <w:pPr>
            <w:pStyle w:val="179"/>
            <w:spacing w:before="567" w:beforeLines="182" w:after="686" w:afterLines="220"/>
          </w:pPr>
          <w:bookmarkStart w:id="26" w:name="NEW_STAND_NAME"/>
          <w:r>
            <w:rPr>
              <w:rFonts w:hint="eastAsia"/>
            </w:rPr>
            <w:t>番茄潜叶蛾测报技术规范</w:t>
          </w:r>
        </w:p>
      </w:sdtContent>
    </w:sdt>
    <w:bookmarkEnd w:id="26"/>
    <w:p>
      <w:pPr>
        <w:pStyle w:val="106"/>
        <w:spacing w:before="312" w:after="312"/>
      </w:pPr>
      <w:bookmarkStart w:id="27" w:name="_Toc24884218"/>
      <w:bookmarkStart w:id="28" w:name="_Toc26986530"/>
      <w:bookmarkStart w:id="29" w:name="_Toc17233333"/>
      <w:bookmarkStart w:id="30" w:name="_Toc26718930"/>
      <w:bookmarkStart w:id="31" w:name="_Toc26648465"/>
      <w:bookmarkStart w:id="32" w:name="_Toc1223751301"/>
      <w:bookmarkStart w:id="33" w:name="_Toc17233325"/>
      <w:bookmarkStart w:id="34" w:name="_Toc24884211"/>
      <w:bookmarkStart w:id="35" w:name="_Toc26986771"/>
      <w:bookmarkStart w:id="36" w:name="_Toc127286527"/>
      <w:r>
        <w:rPr>
          <w:rFonts w:hint="eastAsia"/>
        </w:rPr>
        <w:t>范围</w:t>
      </w:r>
      <w:bookmarkEnd w:id="27"/>
      <w:bookmarkEnd w:id="28"/>
      <w:bookmarkEnd w:id="29"/>
      <w:bookmarkEnd w:id="30"/>
      <w:bookmarkEnd w:id="31"/>
      <w:bookmarkEnd w:id="32"/>
      <w:bookmarkEnd w:id="33"/>
      <w:bookmarkEnd w:id="34"/>
      <w:bookmarkEnd w:id="35"/>
      <w:bookmarkEnd w:id="36"/>
    </w:p>
    <w:p>
      <w:pPr>
        <w:pStyle w:val="232"/>
        <w:tabs>
          <w:tab w:val="center" w:pos="4201"/>
          <w:tab w:val="right" w:leader="dot" w:pos="9298"/>
        </w:tabs>
        <w:rPr>
          <w:rFonts w:ascii="Times New Roman"/>
        </w:rPr>
      </w:pPr>
      <w:bookmarkStart w:id="37" w:name="_Toc24884212"/>
      <w:bookmarkStart w:id="38" w:name="_Toc24884219"/>
      <w:bookmarkStart w:id="39" w:name="_Toc17233334"/>
      <w:bookmarkStart w:id="40" w:name="_Toc17233326"/>
      <w:bookmarkStart w:id="41" w:name="_Toc26648466"/>
      <w:r>
        <w:rPr>
          <w:rFonts w:ascii="Times New Roman"/>
        </w:rPr>
        <w:t>本</w:t>
      </w:r>
      <w:r>
        <w:rPr>
          <w:rFonts w:hint="eastAsia" w:ascii="Times New Roman"/>
        </w:rPr>
        <w:t>文件</w:t>
      </w:r>
      <w:r>
        <w:rPr>
          <w:rFonts w:ascii="Times New Roman"/>
        </w:rPr>
        <w:t>规定了番茄潜叶蛾测报调查的术语和定义、</w:t>
      </w:r>
      <w:r>
        <w:rPr>
          <w:rFonts w:hint="eastAsia" w:ascii="Times New Roman"/>
        </w:rPr>
        <w:t>系统调查、大田普查、</w:t>
      </w:r>
      <w:r>
        <w:rPr>
          <w:rFonts w:ascii="Times New Roman"/>
        </w:rPr>
        <w:t>分级指标</w:t>
      </w:r>
      <w:r>
        <w:rPr>
          <w:rFonts w:hint="eastAsia" w:ascii="Times New Roman"/>
          <w:lang w:eastAsia="zh-CN"/>
        </w:rPr>
        <w:t>、</w:t>
      </w:r>
      <w:r>
        <w:rPr>
          <w:rFonts w:ascii="Times New Roman"/>
        </w:rPr>
        <w:t>预测预报</w:t>
      </w:r>
      <w:r>
        <w:rPr>
          <w:rFonts w:hint="eastAsia" w:ascii="Times New Roman"/>
          <w:lang w:eastAsia="zh-CN"/>
        </w:rPr>
        <w:t>、预报发布、资料存档等</w:t>
      </w:r>
      <w:r>
        <w:rPr>
          <w:rFonts w:ascii="Times New Roman"/>
        </w:rPr>
        <w:t>。</w:t>
      </w:r>
    </w:p>
    <w:p>
      <w:pPr>
        <w:pStyle w:val="232"/>
        <w:tabs>
          <w:tab w:val="center" w:pos="4201"/>
          <w:tab w:val="right" w:leader="dot" w:pos="9298"/>
        </w:tabs>
        <w:rPr>
          <w:rFonts w:ascii="Times New Roman"/>
        </w:rPr>
      </w:pPr>
      <w:r>
        <w:rPr>
          <w:rFonts w:ascii="Times New Roman"/>
        </w:rPr>
        <w:t>本</w:t>
      </w:r>
      <w:r>
        <w:rPr>
          <w:rFonts w:hint="eastAsia" w:ascii="Times New Roman"/>
        </w:rPr>
        <w:t>文件</w:t>
      </w:r>
      <w:r>
        <w:rPr>
          <w:rFonts w:ascii="Times New Roman"/>
        </w:rPr>
        <w:t>适用于番茄潜叶蛾</w:t>
      </w:r>
      <w:r>
        <w:rPr>
          <w:rFonts w:hint="eastAsia" w:ascii="Times New Roman"/>
          <w:lang w:eastAsia="zh-CN"/>
        </w:rPr>
        <w:t>监测</w:t>
      </w:r>
      <w:r>
        <w:rPr>
          <w:rFonts w:ascii="Times New Roman"/>
        </w:rPr>
        <w:t>调查和预测预报。</w:t>
      </w:r>
    </w:p>
    <w:p>
      <w:pPr>
        <w:pStyle w:val="106"/>
        <w:spacing w:before="312" w:after="312"/>
      </w:pPr>
      <w:bookmarkStart w:id="42" w:name="_Toc26986531"/>
      <w:bookmarkStart w:id="43" w:name="_Toc877017951"/>
      <w:bookmarkStart w:id="44" w:name="_Toc26718931"/>
      <w:bookmarkStart w:id="45" w:name="_Toc127286528"/>
      <w:bookmarkStart w:id="46" w:name="_Toc26986772"/>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832FEE11F480463C8E68B4A2FAB2B55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rPr>
              <w:rFonts w:hint="eastAsia"/>
            </w:rPr>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47" w:name="_Toc127286529"/>
        </w:p>
      </w:sdtContent>
    </w:sdt>
    <w:p>
      <w:pPr>
        <w:pStyle w:val="58"/>
        <w:ind w:firstLine="420"/>
        <w:rPr>
          <w:rFonts w:hint="default" w:ascii="Times New Roman" w:hAnsi="Times New Roman" w:cs="Times New Roman"/>
          <w:lang w:val="en-US" w:eastAsia="zh-CN"/>
        </w:rPr>
      </w:pPr>
      <w:r>
        <w:rPr>
          <w:rFonts w:hint="default" w:ascii="Times New Roman" w:hAnsi="Times New Roman" w:cs="Times New Roman"/>
          <w:lang w:val="en-US" w:eastAsia="zh-CN"/>
        </w:rPr>
        <w:t>NY/T 3959 农业外来入侵昆虫监测技术导则</w:t>
      </w:r>
    </w:p>
    <w:p>
      <w:pPr>
        <w:pStyle w:val="58"/>
        <w:ind w:firstLine="420"/>
        <w:rPr>
          <w:rFonts w:hint="default" w:ascii="Times New Roman" w:hAnsi="Times New Roman" w:cs="Times New Roman"/>
          <w:lang w:val="en-US" w:eastAsia="zh-CN"/>
        </w:rPr>
      </w:pPr>
      <w:r>
        <w:rPr>
          <w:rFonts w:hint="default" w:ascii="Times New Roman" w:hAnsi="Times New Roman" w:cs="Times New Roman"/>
          <w:lang w:val="en-US" w:eastAsia="zh-CN"/>
        </w:rPr>
        <w:t>农作物病虫害监测与预报管理办法（农业农村部2021年第6号部令）</w:t>
      </w:r>
    </w:p>
    <w:p>
      <w:pPr>
        <w:pStyle w:val="106"/>
        <w:spacing w:before="312" w:after="312"/>
      </w:pPr>
      <w:bookmarkStart w:id="48" w:name="_Toc1029463689"/>
      <w:r>
        <w:rPr>
          <w:rFonts w:hint="eastAsia"/>
          <w:szCs w:val="21"/>
        </w:rPr>
        <w:t>术语和定义</w:t>
      </w:r>
      <w:bookmarkEnd w:id="47"/>
      <w:bookmarkEnd w:id="48"/>
    </w:p>
    <w:sdt>
      <w:sdtPr>
        <w:id w:val="-1909835108"/>
        <w:placeholder>
          <w:docPart w:val="893F837C1ABF470DBDB9E5D33EEE39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9" w:name="_Toc26986532"/>
          <w:bookmarkEnd w:id="49"/>
          <w:r>
            <w:t>下列术语和定义适用于本文件。</w:t>
          </w:r>
        </w:p>
      </w:sdtContent>
    </w:sdt>
    <w:p>
      <w:pPr>
        <w:pStyle w:val="225"/>
        <w:ind w:left="420" w:hanging="420" w:hangingChars="200"/>
        <w:rPr>
          <w:rFonts w:ascii="黑体" w:hAnsi="黑体" w:eastAsia="黑体"/>
        </w:rPr>
      </w:pPr>
    </w:p>
    <w:p>
      <w:pPr>
        <w:pStyle w:val="58"/>
        <w:keepNext w:val="0"/>
        <w:keepLines w:val="0"/>
        <w:pageBreakBefore w:val="0"/>
        <w:widowControl/>
        <w:kinsoku/>
        <w:wordWrap/>
        <w:overflowPunct/>
        <w:topLinePunct w:val="0"/>
        <w:autoSpaceDE w:val="0"/>
        <w:autoSpaceDN w:val="0"/>
        <w:bidi w:val="0"/>
        <w:adjustRightInd/>
        <w:snapToGrid/>
        <w:spacing w:before="157" w:beforeLines="50" w:after="157" w:afterLines="50"/>
        <w:textAlignment w:val="auto"/>
        <w:rPr>
          <w:rFonts w:hint="eastAsia" w:ascii="黑体" w:hAnsi="黑体" w:eastAsia="黑体"/>
          <w:lang w:eastAsia="zh-CN"/>
        </w:rPr>
      </w:pPr>
      <w:r>
        <w:rPr>
          <w:rFonts w:hint="eastAsia" w:ascii="黑体" w:hAnsi="黑体" w:eastAsia="黑体"/>
          <w:lang w:eastAsia="zh-CN"/>
        </w:rPr>
        <w:t>番茄潜叶蛾</w:t>
      </w:r>
    </w:p>
    <w:p>
      <w:pPr>
        <w:pStyle w:val="58"/>
        <w:rPr>
          <w:rFonts w:hint="eastAsia" w:ascii="黑体" w:hAnsi="黑体" w:eastAsia="黑体"/>
          <w:lang w:eastAsia="zh-CN"/>
        </w:rPr>
      </w:pPr>
      <w:r>
        <w:rPr>
          <w:rFonts w:ascii="Times New Roman"/>
        </w:rPr>
        <w:t>番茄潜叶蛾</w:t>
      </w:r>
      <w:r>
        <w:rPr>
          <w:rFonts w:hint="eastAsia" w:ascii="Times New Roman"/>
          <w:lang w:eastAsia="zh-CN"/>
        </w:rPr>
        <w:t>，属鳞翅目（</w:t>
      </w:r>
      <w:r>
        <w:rPr>
          <w:rFonts w:hint="default" w:ascii="Times New Roman"/>
          <w:lang w:val="en" w:eastAsia="zh-CN"/>
        </w:rPr>
        <w:t>Lepidoptera</w:t>
      </w:r>
      <w:r>
        <w:rPr>
          <w:rFonts w:hint="eastAsia" w:ascii="Times New Roman"/>
          <w:lang w:eastAsia="zh-CN"/>
        </w:rPr>
        <w:t>）麦蛾科（Gelechiidae），</w:t>
      </w:r>
      <w:r>
        <w:rPr>
          <w:rFonts w:ascii="Times New Roman"/>
        </w:rPr>
        <w:t>又称番茄潜麦蛾、番茄麦蛾，原产于南美洲秘鲁，寄主范围广，可取食为害11科50种植物，喜食茄科植物，尤其嗜食番茄，是世界番茄的毁灭性害虫。</w:t>
      </w:r>
    </w:p>
    <w:p>
      <w:pPr>
        <w:pStyle w:val="225"/>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黑体" w:hAnsi="黑体" w:eastAsia="黑体"/>
        </w:rPr>
      </w:pPr>
      <w:r>
        <w:rPr>
          <w:rFonts w:ascii="黑体" w:hAnsi="黑体" w:eastAsia="黑体"/>
        </w:rPr>
        <w:br w:type="textWrapping"/>
      </w:r>
      <w:r>
        <w:rPr>
          <w:rFonts w:hint="eastAsia" w:ascii="黑体" w:hAnsi="黑体" w:eastAsia="黑体"/>
        </w:rPr>
        <w:t>系统调查</w:t>
      </w:r>
    </w:p>
    <w:p>
      <w:pPr>
        <w:pStyle w:val="58"/>
        <w:ind w:firstLine="420"/>
        <w:rPr>
          <w:rFonts w:ascii="Times New Roman"/>
        </w:rPr>
      </w:pPr>
      <w:r>
        <w:rPr>
          <w:rFonts w:ascii="Times New Roman"/>
        </w:rPr>
        <w:t>为掌握一个地区病虫发生消长动态，采用定点、定时、定内容的方法进行的连续调</w:t>
      </w:r>
      <w:r>
        <w:rPr>
          <w:rFonts w:hint="eastAsia" w:ascii="Times New Roman"/>
        </w:rPr>
        <w:t>查。</w:t>
      </w:r>
    </w:p>
    <w:p>
      <w:pPr>
        <w:pStyle w:val="225"/>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Times New Roman" w:eastAsia="黑体"/>
        </w:rPr>
      </w:pPr>
      <w:r>
        <w:rPr>
          <w:rFonts w:ascii="黑体" w:hAnsi="黑体" w:eastAsia="黑体"/>
        </w:rPr>
        <w:br w:type="textWrapping"/>
      </w:r>
      <w:r>
        <w:rPr>
          <w:rFonts w:hint="eastAsia" w:ascii="黑体" w:hAnsi="黑体" w:eastAsia="黑体"/>
        </w:rPr>
        <w:t>大田普查</w:t>
      </w:r>
    </w:p>
    <w:p>
      <w:pPr>
        <w:pStyle w:val="58"/>
        <w:ind w:firstLine="420"/>
        <w:rPr>
          <w:rFonts w:ascii="Times New Roman"/>
          <w:szCs w:val="21"/>
        </w:rPr>
      </w:pPr>
      <w:r>
        <w:rPr>
          <w:rFonts w:ascii="Times New Roman"/>
          <w:szCs w:val="21"/>
        </w:rPr>
        <w:t>为了解一个地区病虫整体发生情况，在较大范围内进行的多点调查</w:t>
      </w:r>
      <w:r>
        <w:rPr>
          <w:rFonts w:hint="eastAsia" w:ascii="Times New Roman"/>
          <w:szCs w:val="21"/>
        </w:rPr>
        <w:t>。</w:t>
      </w:r>
    </w:p>
    <w:p>
      <w:pPr>
        <w:pStyle w:val="225"/>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Times New Roman" w:eastAsia="黑体"/>
        </w:rPr>
      </w:pPr>
      <w:r>
        <w:rPr>
          <w:rFonts w:ascii="黑体" w:hAnsi="黑体" w:eastAsia="黑体"/>
        </w:rPr>
        <w:br w:type="textWrapping"/>
      </w:r>
      <w:r>
        <w:rPr>
          <w:rFonts w:ascii="Times New Roman" w:eastAsia="黑体"/>
        </w:rPr>
        <w:t>发生盛</w:t>
      </w:r>
      <w:r>
        <w:rPr>
          <w:rFonts w:hint="eastAsia" w:ascii="Times New Roman" w:eastAsia="黑体"/>
        </w:rPr>
        <w:t>期</w:t>
      </w:r>
    </w:p>
    <w:p>
      <w:pPr>
        <w:pStyle w:val="58"/>
        <w:ind w:firstLine="420"/>
        <w:rPr>
          <w:rFonts w:ascii="Times New Roman"/>
          <w:szCs w:val="21"/>
        </w:rPr>
      </w:pPr>
      <w:r>
        <w:rPr>
          <w:rFonts w:ascii="Times New Roman"/>
          <w:szCs w:val="21"/>
        </w:rPr>
        <w:t>当代某虫态累计发生量达发生总量的16%、50%和84%时的时间分别为该虫态的始盛期、高峰期、盛末期，从始盛期到盛末期一段时间为该虫态的发生盛期</w:t>
      </w:r>
      <w:r>
        <w:rPr>
          <w:rFonts w:hint="eastAsia" w:ascii="Times New Roman"/>
          <w:szCs w:val="21"/>
        </w:rPr>
        <w:t>。</w:t>
      </w:r>
    </w:p>
    <w:p>
      <w:pPr>
        <w:pStyle w:val="225"/>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Times New Roman" w:eastAsia="黑体"/>
        </w:rPr>
      </w:pPr>
      <w:r>
        <w:rPr>
          <w:rFonts w:ascii="黑体" w:hAnsi="黑体" w:eastAsia="黑体"/>
        </w:rPr>
        <w:br w:type="textWrapping"/>
      </w:r>
      <w:r>
        <w:rPr>
          <w:rFonts w:ascii="Times New Roman" w:eastAsia="黑体"/>
        </w:rPr>
        <w:t>历</w:t>
      </w:r>
      <w:r>
        <w:rPr>
          <w:rFonts w:hint="eastAsia" w:ascii="Times New Roman" w:eastAsia="黑体"/>
        </w:rPr>
        <w:t>期</w:t>
      </w:r>
    </w:p>
    <w:p>
      <w:pPr>
        <w:pStyle w:val="58"/>
        <w:ind w:firstLine="420"/>
        <w:rPr>
          <w:rFonts w:ascii="Times New Roman"/>
          <w:szCs w:val="21"/>
        </w:rPr>
      </w:pPr>
      <w:r>
        <w:rPr>
          <w:rFonts w:ascii="Times New Roman"/>
          <w:szCs w:val="21"/>
        </w:rPr>
        <w:t>昆虫完成一个世代或某一个虫态的生长发育所需的时间，表示一个时间段</w:t>
      </w:r>
      <w:r>
        <w:rPr>
          <w:rFonts w:hint="eastAsia" w:ascii="Times New Roman"/>
          <w:szCs w:val="21"/>
        </w:rPr>
        <w:t>。</w:t>
      </w:r>
    </w:p>
    <w:p>
      <w:pPr>
        <w:pStyle w:val="225"/>
        <w:keepNext w:val="0"/>
        <w:keepLines w:val="0"/>
        <w:pageBreakBefore w:val="0"/>
        <w:widowControl/>
        <w:kinsoku/>
        <w:wordWrap/>
        <w:overflowPunct/>
        <w:topLinePunct w:val="0"/>
        <w:autoSpaceDE/>
        <w:autoSpaceDN/>
        <w:bidi w:val="0"/>
        <w:adjustRightInd/>
        <w:snapToGrid/>
        <w:spacing w:before="157" w:beforeLines="50" w:after="157" w:afterLines="50"/>
        <w:ind w:left="0" w:hanging="420" w:hangingChars="200"/>
        <w:textAlignment w:val="auto"/>
        <w:rPr>
          <w:rFonts w:ascii="Times New Roman" w:eastAsia="黑体"/>
        </w:rPr>
      </w:pPr>
      <w:r>
        <w:rPr>
          <w:rFonts w:ascii="黑体" w:hAnsi="黑体" w:eastAsia="黑体"/>
        </w:rPr>
        <w:br w:type="textWrapping"/>
      </w:r>
      <w:r>
        <w:rPr>
          <w:rFonts w:ascii="Times New Roman" w:eastAsia="黑体"/>
        </w:rPr>
        <w:t>期距预测</w:t>
      </w:r>
      <w:r>
        <w:rPr>
          <w:rFonts w:hint="eastAsia" w:ascii="Times New Roman" w:eastAsia="黑体"/>
        </w:rPr>
        <w:t>法</w:t>
      </w:r>
    </w:p>
    <w:p>
      <w:pPr>
        <w:pStyle w:val="58"/>
        <w:ind w:firstLine="420"/>
        <w:rPr>
          <w:rFonts w:hint="eastAsia" w:ascii="Times New Roman" w:hAnsi="Times New Roman" w:cs="Times New Roman"/>
          <w:szCs w:val="21"/>
          <w:lang w:eastAsia="zh-CN"/>
        </w:rPr>
      </w:pPr>
      <w:r>
        <w:rPr>
          <w:rFonts w:hint="eastAsia" w:ascii="Times New Roman" w:hAnsi="Times New Roman" w:cs="Times New Roman"/>
          <w:szCs w:val="21"/>
          <w:lang w:eastAsia="zh-CN"/>
        </w:rPr>
        <w:t>根据昆虫的某一世代或某一虫态在某一环境条件下的历期，推测下一世代或下一虫态的发生时间的方法。</w:t>
      </w:r>
    </w:p>
    <w:p>
      <w:pPr>
        <w:pStyle w:val="106"/>
        <w:spacing w:before="312" w:after="312"/>
        <w:rPr>
          <w:rFonts w:ascii="Times New Roman"/>
          <w:bCs/>
          <w:szCs w:val="21"/>
        </w:rPr>
      </w:pPr>
      <w:bookmarkStart w:id="50" w:name="_Toc327670000"/>
      <w:bookmarkStart w:id="51" w:name="_Toc127286530"/>
      <w:r>
        <w:rPr>
          <w:rFonts w:hint="eastAsia" w:ascii="Times New Roman"/>
          <w:bCs/>
          <w:szCs w:val="21"/>
          <w:lang w:eastAsia="zh-CN"/>
        </w:rPr>
        <w:t>调查作物</w:t>
      </w:r>
      <w:bookmarkEnd w:id="50"/>
    </w:p>
    <w:p>
      <w:pPr>
        <w:pStyle w:val="58"/>
      </w:pPr>
      <w:r>
        <w:rPr>
          <w:rFonts w:ascii="Times New Roman" w:hAnsi="Times New Roman"/>
        </w:rPr>
        <w:t>以番茄为重点，兼顾周边茄子、马铃薯、辣椒</w:t>
      </w:r>
      <w:r>
        <w:rPr>
          <w:rFonts w:hint="eastAsia" w:ascii="Times New Roman" w:hAnsi="Times New Roman"/>
        </w:rPr>
        <w:t>、大豆、豆角等</w:t>
      </w:r>
      <w:r>
        <w:rPr>
          <w:rFonts w:ascii="Times New Roman" w:hAnsi="Times New Roman"/>
        </w:rPr>
        <w:t>作物。</w:t>
      </w:r>
    </w:p>
    <w:p>
      <w:pPr>
        <w:pStyle w:val="106"/>
        <w:spacing w:before="312" w:after="312"/>
        <w:rPr>
          <w:rFonts w:ascii="Times New Roman"/>
          <w:bCs/>
          <w:szCs w:val="21"/>
        </w:rPr>
      </w:pPr>
      <w:bookmarkStart w:id="52" w:name="_Toc38063993"/>
      <w:r>
        <w:rPr>
          <w:rFonts w:ascii="Times New Roman"/>
          <w:bCs/>
          <w:szCs w:val="21"/>
        </w:rPr>
        <w:t>系统调查</w:t>
      </w:r>
      <w:bookmarkEnd w:id="51"/>
      <w:bookmarkEnd w:id="52"/>
    </w:p>
    <w:p>
      <w:pPr>
        <w:pStyle w:val="107"/>
        <w:spacing w:before="156" w:after="156"/>
        <w:rPr>
          <w:rFonts w:ascii="Times New Roman"/>
          <w:bCs/>
          <w:szCs w:val="21"/>
        </w:rPr>
      </w:pPr>
      <w:r>
        <w:rPr>
          <w:rFonts w:ascii="Times New Roman"/>
          <w:bCs/>
          <w:szCs w:val="21"/>
        </w:rPr>
        <w:t>调查</w:t>
      </w:r>
      <w:r>
        <w:rPr>
          <w:rFonts w:hint="eastAsia" w:ascii="Times New Roman"/>
          <w:bCs/>
          <w:szCs w:val="21"/>
          <w:lang w:eastAsia="zh-CN"/>
        </w:rPr>
        <w:t>时间</w:t>
      </w:r>
    </w:p>
    <w:p>
      <w:pPr>
        <w:pStyle w:val="58"/>
        <w:ind w:firstLine="420"/>
        <w:rPr>
          <w:rFonts w:hint="eastAsia" w:ascii="Times New Roman"/>
          <w:szCs w:val="21"/>
        </w:rPr>
      </w:pPr>
      <w:r>
        <w:rPr>
          <w:rFonts w:hint="eastAsia" w:ascii="Times New Roman"/>
          <w:szCs w:val="21"/>
          <w:lang w:eastAsia="zh-CN"/>
        </w:rPr>
        <w:t>生长</w:t>
      </w:r>
      <w:r>
        <w:rPr>
          <w:rFonts w:hint="eastAsia" w:ascii="Times New Roman"/>
          <w:szCs w:val="21"/>
        </w:rPr>
        <w:t>田</w:t>
      </w:r>
      <w:r>
        <w:rPr>
          <w:rFonts w:ascii="Times New Roman"/>
          <w:szCs w:val="21"/>
        </w:rPr>
        <w:t>从番茄定植至拉秧后；番茄育苗</w:t>
      </w:r>
      <w:r>
        <w:rPr>
          <w:rFonts w:hint="eastAsia" w:ascii="Times New Roman"/>
          <w:szCs w:val="21"/>
          <w:lang w:eastAsia="zh-CN"/>
        </w:rPr>
        <w:t>田</w:t>
      </w:r>
      <w:r>
        <w:rPr>
          <w:rFonts w:ascii="Times New Roman"/>
          <w:szCs w:val="21"/>
        </w:rPr>
        <w:t>从播种</w:t>
      </w:r>
      <w:r>
        <w:rPr>
          <w:rFonts w:hint="eastAsia" w:ascii="Times New Roman"/>
          <w:szCs w:val="21"/>
          <w:lang w:eastAsia="zh-CN"/>
        </w:rPr>
        <w:t>到移苗</w:t>
      </w:r>
      <w:r>
        <w:rPr>
          <w:rFonts w:ascii="Times New Roman"/>
          <w:szCs w:val="21"/>
        </w:rPr>
        <w:t>，贯穿始终。</w:t>
      </w:r>
      <w:r>
        <w:rPr>
          <w:rFonts w:hint="eastAsia" w:ascii="Times New Roman"/>
          <w:szCs w:val="21"/>
          <w:lang w:eastAsia="zh-CN"/>
        </w:rPr>
        <w:t>成虫性诱调查</w:t>
      </w:r>
      <w:r>
        <w:rPr>
          <w:rFonts w:ascii="Times New Roman"/>
          <w:szCs w:val="21"/>
        </w:rPr>
        <w:t>每2 d 检查记录1次诱蛾数量</w:t>
      </w:r>
      <w:r>
        <w:rPr>
          <w:rFonts w:hint="eastAsia" w:ascii="Times New Roman"/>
          <w:szCs w:val="21"/>
          <w:lang w:eastAsia="zh-CN"/>
        </w:rPr>
        <w:t>，卵、幼虫和蛹调查待</w:t>
      </w:r>
      <w:r>
        <w:rPr>
          <w:rFonts w:ascii="Times New Roman"/>
          <w:szCs w:val="21"/>
        </w:rPr>
        <w:t>生长季节监测到成虫后，每5 d调查1次</w:t>
      </w:r>
      <w:r>
        <w:rPr>
          <w:rFonts w:hint="eastAsia" w:ascii="Times New Roman"/>
          <w:szCs w:val="21"/>
        </w:rPr>
        <w:t>。其他作物以番茄为参考。</w:t>
      </w:r>
    </w:p>
    <w:p>
      <w:pPr>
        <w:pStyle w:val="107"/>
        <w:spacing w:before="156" w:after="156"/>
        <w:rPr>
          <w:rFonts w:ascii="Times New Roman"/>
          <w:bCs/>
          <w:szCs w:val="21"/>
        </w:rPr>
      </w:pPr>
      <w:r>
        <w:rPr>
          <w:rFonts w:ascii="Times New Roman"/>
          <w:bCs/>
          <w:szCs w:val="21"/>
        </w:rPr>
        <w:t>调查</w:t>
      </w:r>
      <w:r>
        <w:rPr>
          <w:rFonts w:hint="eastAsia" w:ascii="Times New Roman"/>
          <w:bCs/>
          <w:szCs w:val="21"/>
          <w:lang w:eastAsia="zh-CN"/>
        </w:rPr>
        <w:t>方法</w:t>
      </w:r>
    </w:p>
    <w:p>
      <w:pPr>
        <w:pStyle w:val="67"/>
        <w:spacing w:before="156" w:after="156"/>
      </w:pPr>
      <w:r>
        <w:rPr>
          <w:rFonts w:hint="eastAsia"/>
          <w:lang w:eastAsia="zh-CN"/>
        </w:rPr>
        <w:t>成虫性诱调查</w:t>
      </w:r>
    </w:p>
    <w:p>
      <w:pPr>
        <w:pStyle w:val="96"/>
        <w:spacing w:before="156" w:after="156"/>
      </w:pPr>
      <w:r>
        <w:rPr>
          <w:rFonts w:hint="eastAsia"/>
        </w:rPr>
        <w:t>露地调查</w:t>
      </w:r>
    </w:p>
    <w:p>
      <w:pPr>
        <w:pStyle w:val="58"/>
        <w:ind w:firstLine="420"/>
        <w:rPr>
          <w:rFonts w:hint="eastAsia" w:ascii="Times New Roman"/>
          <w:szCs w:val="21"/>
        </w:rPr>
      </w:pPr>
      <w:r>
        <w:rPr>
          <w:rFonts w:hint="eastAsia" w:ascii="Times New Roman"/>
          <w:szCs w:val="21"/>
          <w:lang w:eastAsia="zh-CN"/>
        </w:rPr>
        <w:t>调查田块不小于</w:t>
      </w:r>
      <w:r>
        <w:rPr>
          <w:rFonts w:hint="eastAsia" w:ascii="Times New Roman"/>
          <w:szCs w:val="21"/>
          <w:lang w:val="en-US" w:eastAsia="zh-CN"/>
        </w:rPr>
        <w:t>3335 ㎡，</w:t>
      </w:r>
      <w:r>
        <w:rPr>
          <w:rFonts w:ascii="Times New Roman"/>
          <w:szCs w:val="21"/>
        </w:rPr>
        <w:t>每块田布设3 个诱捕</w:t>
      </w:r>
      <w:r>
        <w:rPr>
          <w:rFonts w:hint="default" w:ascii="Times New Roman" w:hAnsi="Times New Roman" w:cs="Times New Roman"/>
          <w:szCs w:val="21"/>
        </w:rPr>
        <w:t>器</w:t>
      </w:r>
      <w:r>
        <w:rPr>
          <w:rFonts w:hint="default" w:ascii="Times New Roman" w:hAnsi="Times New Roman" w:cs="Times New Roman"/>
          <w:szCs w:val="21"/>
          <w:lang w:eastAsia="zh-CN"/>
        </w:rPr>
        <w:t>，诱捕器选择可按照</w:t>
      </w:r>
      <w:r>
        <w:rPr>
          <w:rFonts w:hint="default" w:ascii="Times New Roman" w:hAnsi="Times New Roman" w:cs="Times New Roman"/>
          <w:lang w:val="en-US" w:eastAsia="zh-CN"/>
        </w:rPr>
        <w:t>NY/T 3959 农业外来入侵昆虫监测技术导则执行</w:t>
      </w:r>
      <w:r>
        <w:rPr>
          <w:rFonts w:hint="default" w:ascii="Times New Roman" w:hAnsi="Times New Roman" w:cs="Times New Roman"/>
          <w:szCs w:val="21"/>
        </w:rPr>
        <w:t>；苗期，3个诱捕器呈正三角形布设，间距</w:t>
      </w:r>
      <w:r>
        <w:rPr>
          <w:rFonts w:hint="default" w:ascii="Times New Roman" w:hAnsi="Times New Roman" w:cs="Times New Roman"/>
          <w:szCs w:val="21"/>
          <w:lang w:eastAsia="zh-CN"/>
        </w:rPr>
        <w:t>大于等于</w:t>
      </w:r>
      <w:r>
        <w:rPr>
          <w:rFonts w:hint="default" w:ascii="Times New Roman" w:hAnsi="Times New Roman" w:cs="Times New Roman"/>
          <w:szCs w:val="21"/>
          <w:lang w:val="en-US" w:eastAsia="zh-CN"/>
        </w:rPr>
        <w:t>60</w:t>
      </w:r>
      <w:r>
        <w:rPr>
          <w:rFonts w:hint="default" w:ascii="Times New Roman" w:hAnsi="Times New Roman" w:cs="Times New Roman"/>
          <w:szCs w:val="21"/>
        </w:rPr>
        <w:t xml:space="preserve"> m，每个诱捕器与田边距离不少于 5 m，悬挂高度为诱捕器底部与地面距离 0.2 m~0.3 m，略高于幼苗顶部；成株期，诱捕器放置于田边方便操作的田埂上，与田边相距 1 m，诱捕器间距</w:t>
      </w:r>
      <w:r>
        <w:rPr>
          <w:rFonts w:hint="default" w:ascii="Times New Roman" w:hAnsi="Times New Roman" w:cs="Times New Roman"/>
          <w:szCs w:val="21"/>
          <w:lang w:eastAsia="zh-CN"/>
        </w:rPr>
        <w:t>大于等</w:t>
      </w:r>
      <w:r>
        <w:rPr>
          <w:rFonts w:hint="eastAsia" w:ascii="Times New Roman"/>
          <w:szCs w:val="21"/>
          <w:lang w:eastAsia="zh-CN"/>
        </w:rPr>
        <w:t>于</w:t>
      </w:r>
      <w:r>
        <w:rPr>
          <w:rFonts w:hint="eastAsia" w:ascii="Times New Roman"/>
          <w:szCs w:val="21"/>
          <w:lang w:val="en-US" w:eastAsia="zh-CN"/>
        </w:rPr>
        <w:t>60</w:t>
      </w:r>
      <w:r>
        <w:rPr>
          <w:rFonts w:ascii="Times New Roman"/>
          <w:szCs w:val="21"/>
        </w:rPr>
        <w:t xml:space="preserve"> m，悬挂高度</w:t>
      </w:r>
      <w:r>
        <w:rPr>
          <w:rFonts w:hint="eastAsia" w:ascii="Times New Roman"/>
          <w:szCs w:val="21"/>
        </w:rPr>
        <w:t>与作物顶部幼</w:t>
      </w:r>
      <w:r>
        <w:rPr>
          <w:rFonts w:ascii="Times New Roman"/>
          <w:szCs w:val="21"/>
        </w:rPr>
        <w:t>嫩</w:t>
      </w:r>
      <w:r>
        <w:rPr>
          <w:rFonts w:hint="eastAsia" w:ascii="Times New Roman"/>
          <w:szCs w:val="21"/>
        </w:rPr>
        <w:t>叶片基本平行</w:t>
      </w:r>
      <w:r>
        <w:rPr>
          <w:rFonts w:ascii="Times New Roman"/>
          <w:szCs w:val="21"/>
        </w:rPr>
        <w:t>。</w:t>
      </w:r>
      <w:r>
        <w:rPr>
          <w:rFonts w:hint="eastAsia" w:ascii="Times New Roman"/>
          <w:szCs w:val="21"/>
          <w:lang w:eastAsia="zh-CN"/>
        </w:rPr>
        <w:t>诱捕器中</w:t>
      </w:r>
      <w:r>
        <w:rPr>
          <w:rFonts w:ascii="Times New Roman"/>
          <w:szCs w:val="21"/>
        </w:rPr>
        <w:t>粘虫板根据粘虫数量及粘性7 d~15</w:t>
      </w:r>
      <w:r>
        <w:rPr>
          <w:rFonts w:hint="eastAsia" w:ascii="Times New Roman"/>
          <w:szCs w:val="21"/>
        </w:rPr>
        <w:t xml:space="preserve"> </w:t>
      </w:r>
      <w:r>
        <w:rPr>
          <w:rFonts w:ascii="Times New Roman"/>
          <w:szCs w:val="21"/>
        </w:rPr>
        <w:t>d更换一次，诱芯</w:t>
      </w:r>
      <w:r>
        <w:rPr>
          <w:rFonts w:hint="eastAsia" w:ascii="Times New Roman"/>
          <w:szCs w:val="21"/>
          <w:lang w:eastAsia="zh-CN"/>
        </w:rPr>
        <w:t>根据持效期及时</w:t>
      </w:r>
      <w:r>
        <w:rPr>
          <w:rFonts w:ascii="Times New Roman"/>
          <w:szCs w:val="21"/>
        </w:rPr>
        <w:t>更换，调查结果记入表1</w:t>
      </w:r>
      <w:r>
        <w:rPr>
          <w:rFonts w:hint="eastAsia" w:ascii="Times New Roman"/>
          <w:szCs w:val="21"/>
        </w:rPr>
        <w:t>。</w:t>
      </w:r>
    </w:p>
    <w:p>
      <w:pPr>
        <w:pStyle w:val="114"/>
        <w:spacing w:before="156" w:after="156"/>
        <w:rPr>
          <w:rFonts w:ascii="Times New Roman"/>
          <w:szCs w:val="21"/>
        </w:rPr>
      </w:pPr>
      <w:r>
        <w:rPr>
          <w:rFonts w:ascii="Times New Roman"/>
          <w:szCs w:val="21"/>
        </w:rPr>
        <w:t>番茄潜叶蛾成虫性诱剂诱测调查记载</w:t>
      </w:r>
      <w:r>
        <w:rPr>
          <w:rFonts w:hint="eastAsia" w:ascii="Times New Roman"/>
          <w:szCs w:val="21"/>
        </w:rPr>
        <w:t>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78"/>
        <w:gridCol w:w="778"/>
        <w:gridCol w:w="777"/>
        <w:gridCol w:w="777"/>
        <w:gridCol w:w="778"/>
        <w:gridCol w:w="778"/>
        <w:gridCol w:w="778"/>
        <w:gridCol w:w="778"/>
        <w:gridCol w:w="778"/>
        <w:gridCol w:w="778"/>
        <w:gridCol w:w="778"/>
        <w:gridCol w:w="77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78" w:type="dxa"/>
            <w:vMerge w:val="restart"/>
            <w:tcBorders>
              <w:top w:val="single" w:color="auto" w:sz="8" w:space="0"/>
            </w:tcBorders>
            <w:shd w:val="clear" w:color="auto" w:fill="auto"/>
            <w:vAlign w:val="center"/>
          </w:tcPr>
          <w:p>
            <w:pPr>
              <w:pStyle w:val="180"/>
            </w:pPr>
            <w:r>
              <w:rPr>
                <w:rFonts w:ascii="Times New Roman"/>
                <w:szCs w:val="18"/>
              </w:rPr>
              <w:t>调查时间</w:t>
            </w:r>
          </w:p>
        </w:tc>
        <w:tc>
          <w:tcPr>
            <w:tcW w:w="778" w:type="dxa"/>
            <w:vMerge w:val="restart"/>
            <w:tcBorders>
              <w:top w:val="single" w:color="auto" w:sz="8" w:space="0"/>
            </w:tcBorders>
            <w:shd w:val="clear" w:color="auto" w:fill="auto"/>
            <w:vAlign w:val="center"/>
          </w:tcPr>
          <w:p>
            <w:pPr>
              <w:pStyle w:val="180"/>
            </w:pPr>
            <w:r>
              <w:rPr>
                <w:rFonts w:ascii="Times New Roman"/>
                <w:szCs w:val="18"/>
              </w:rPr>
              <w:t>调查地点</w:t>
            </w:r>
          </w:p>
        </w:tc>
        <w:tc>
          <w:tcPr>
            <w:tcW w:w="777" w:type="dxa"/>
            <w:vMerge w:val="restart"/>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田块</w:t>
            </w:r>
          </w:p>
          <w:p>
            <w:pPr>
              <w:pStyle w:val="180"/>
            </w:pPr>
            <w:r>
              <w:rPr>
                <w:rFonts w:ascii="Times New Roman"/>
                <w:szCs w:val="18"/>
              </w:rPr>
              <w:t>类型</w:t>
            </w:r>
          </w:p>
        </w:tc>
        <w:tc>
          <w:tcPr>
            <w:tcW w:w="777" w:type="dxa"/>
            <w:vMerge w:val="restart"/>
            <w:tcBorders>
              <w:top w:val="single" w:color="auto" w:sz="8" w:space="0"/>
            </w:tcBorders>
            <w:shd w:val="clear" w:color="auto" w:fill="auto"/>
            <w:vAlign w:val="center"/>
          </w:tcPr>
          <w:p>
            <w:pPr>
              <w:pStyle w:val="180"/>
            </w:pPr>
            <w:r>
              <w:rPr>
                <w:rFonts w:ascii="Times New Roman"/>
                <w:szCs w:val="18"/>
              </w:rPr>
              <w:t>生育期</w:t>
            </w:r>
          </w:p>
        </w:tc>
        <w:tc>
          <w:tcPr>
            <w:tcW w:w="3112" w:type="dxa"/>
            <w:gridSpan w:val="4"/>
            <w:tcBorders>
              <w:top w:val="single" w:color="auto" w:sz="8" w:space="0"/>
              <w:bottom w:val="single" w:color="auto" w:sz="8" w:space="0"/>
            </w:tcBorders>
            <w:shd w:val="clear" w:color="auto" w:fill="auto"/>
            <w:vAlign w:val="center"/>
          </w:tcPr>
          <w:p>
            <w:pPr>
              <w:pStyle w:val="180"/>
            </w:pPr>
            <w:r>
              <w:rPr>
                <w:rFonts w:ascii="Times New Roman"/>
                <w:szCs w:val="18"/>
              </w:rPr>
              <w:t>性诱番茄潜叶蛾数量（头）</w:t>
            </w:r>
          </w:p>
        </w:tc>
        <w:tc>
          <w:tcPr>
            <w:tcW w:w="2334" w:type="dxa"/>
            <w:gridSpan w:val="3"/>
            <w:tcBorders>
              <w:top w:val="single" w:color="auto" w:sz="8" w:space="0"/>
              <w:bottom w:val="single" w:color="auto" w:sz="8" w:space="0"/>
            </w:tcBorders>
            <w:shd w:val="clear" w:color="auto" w:fill="auto"/>
            <w:vAlign w:val="center"/>
          </w:tcPr>
          <w:p>
            <w:pPr>
              <w:pStyle w:val="180"/>
            </w:pPr>
            <w:r>
              <w:rPr>
                <w:rFonts w:ascii="Times New Roman"/>
                <w:szCs w:val="18"/>
              </w:rPr>
              <w:t>记录当</w:t>
            </w:r>
            <w:r>
              <w:rPr>
                <w:rFonts w:hint="eastAsia" w:ascii="Times New Roman"/>
                <w:szCs w:val="18"/>
                <w:lang w:eastAsia="zh-CN"/>
              </w:rPr>
              <w:t>天</w:t>
            </w:r>
            <w:r>
              <w:rPr>
                <w:rFonts w:ascii="Times New Roman"/>
                <w:szCs w:val="18"/>
              </w:rPr>
              <w:t>天气情况</w:t>
            </w:r>
          </w:p>
        </w:tc>
        <w:tc>
          <w:tcPr>
            <w:tcW w:w="778" w:type="dxa"/>
            <w:vMerge w:val="restart"/>
            <w:tcBorders>
              <w:top w:val="single" w:color="auto" w:sz="8" w:space="0"/>
            </w:tcBorders>
            <w:shd w:val="clear" w:color="auto" w:fill="auto"/>
            <w:vAlign w:val="center"/>
          </w:tcPr>
          <w:p>
            <w:pPr>
              <w:pStyle w:val="180"/>
            </w:pPr>
            <w:r>
              <w:rPr>
                <w:rFonts w:ascii="Times New Roman"/>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vMerge w:val="continue"/>
            <w:shd w:val="clear" w:color="auto" w:fill="auto"/>
            <w:vAlign w:val="center"/>
          </w:tcPr>
          <w:p>
            <w:pPr>
              <w:pStyle w:val="180"/>
            </w:pPr>
          </w:p>
        </w:tc>
        <w:tc>
          <w:tcPr>
            <w:tcW w:w="778" w:type="dxa"/>
            <w:vMerge w:val="continue"/>
            <w:shd w:val="clear" w:color="auto" w:fill="auto"/>
            <w:vAlign w:val="center"/>
          </w:tcPr>
          <w:p>
            <w:pPr>
              <w:pStyle w:val="180"/>
            </w:pPr>
          </w:p>
        </w:tc>
        <w:tc>
          <w:tcPr>
            <w:tcW w:w="777" w:type="dxa"/>
            <w:vMerge w:val="continue"/>
            <w:shd w:val="clear" w:color="auto" w:fill="auto"/>
            <w:vAlign w:val="center"/>
          </w:tcPr>
          <w:p>
            <w:pPr>
              <w:pStyle w:val="180"/>
            </w:pPr>
          </w:p>
        </w:tc>
        <w:tc>
          <w:tcPr>
            <w:tcW w:w="777" w:type="dxa"/>
            <w:vMerge w:val="continue"/>
            <w:shd w:val="clear" w:color="auto" w:fill="auto"/>
            <w:vAlign w:val="center"/>
          </w:tcPr>
          <w:p>
            <w:pPr>
              <w:pStyle w:val="180"/>
            </w:pPr>
          </w:p>
        </w:tc>
        <w:tc>
          <w:tcPr>
            <w:tcW w:w="778" w:type="dxa"/>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诱捕器1</w:t>
            </w:r>
          </w:p>
        </w:tc>
        <w:tc>
          <w:tcPr>
            <w:tcW w:w="778" w:type="dxa"/>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诱捕器2</w:t>
            </w:r>
          </w:p>
        </w:tc>
        <w:tc>
          <w:tcPr>
            <w:tcW w:w="778" w:type="dxa"/>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诱捕器3</w:t>
            </w:r>
          </w:p>
        </w:tc>
        <w:tc>
          <w:tcPr>
            <w:tcW w:w="778" w:type="dxa"/>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合计</w:t>
            </w:r>
          </w:p>
        </w:tc>
        <w:tc>
          <w:tcPr>
            <w:tcW w:w="778" w:type="dxa"/>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气温（℃）</w:t>
            </w:r>
          </w:p>
        </w:tc>
        <w:tc>
          <w:tcPr>
            <w:tcW w:w="778" w:type="dxa"/>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风力（级）</w:t>
            </w:r>
          </w:p>
        </w:tc>
        <w:tc>
          <w:tcPr>
            <w:tcW w:w="778" w:type="dxa"/>
            <w:tcBorders>
              <w:top w:val="single" w:color="auto" w:sz="8" w:space="0"/>
            </w:tcBorders>
            <w:shd w:val="clear" w:color="auto" w:fill="auto"/>
            <w:vAlign w:val="center"/>
          </w:tcPr>
          <w:p>
            <w:pPr>
              <w:adjustRightInd/>
              <w:spacing w:line="240" w:lineRule="auto"/>
              <w:jc w:val="center"/>
              <w:rPr>
                <w:rFonts w:ascii="Times New Roman" w:hAnsi="Times New Roman"/>
                <w:sz w:val="18"/>
                <w:szCs w:val="18"/>
              </w:rPr>
            </w:pPr>
            <w:r>
              <w:rPr>
                <w:rFonts w:ascii="Times New Roman" w:hAnsi="Times New Roman"/>
                <w:sz w:val="18"/>
                <w:szCs w:val="18"/>
              </w:rPr>
              <w:t>降雨量（mm）</w:t>
            </w:r>
          </w:p>
        </w:tc>
        <w:tc>
          <w:tcPr>
            <w:tcW w:w="778" w:type="dxa"/>
            <w:vMerge w:val="continue"/>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78" w:type="dxa"/>
            <w:shd w:val="clear" w:color="auto" w:fill="auto"/>
            <w:vAlign w:val="center"/>
          </w:tcPr>
          <w:p>
            <w:pPr>
              <w:pStyle w:val="180"/>
            </w:pPr>
          </w:p>
        </w:tc>
        <w:tc>
          <w:tcPr>
            <w:tcW w:w="778" w:type="dxa"/>
            <w:shd w:val="clear" w:color="auto" w:fill="auto"/>
            <w:vAlign w:val="center"/>
          </w:tcPr>
          <w:p>
            <w:pPr>
              <w:pStyle w:val="180"/>
            </w:pPr>
          </w:p>
        </w:tc>
        <w:tc>
          <w:tcPr>
            <w:tcW w:w="777" w:type="dxa"/>
            <w:shd w:val="clear" w:color="auto" w:fill="auto"/>
            <w:vAlign w:val="center"/>
          </w:tcPr>
          <w:p>
            <w:pPr>
              <w:pStyle w:val="180"/>
            </w:pPr>
          </w:p>
        </w:tc>
        <w:tc>
          <w:tcPr>
            <w:tcW w:w="777"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78" w:type="dxa"/>
            <w:shd w:val="clear" w:color="auto" w:fill="auto"/>
            <w:vAlign w:val="center"/>
          </w:tcPr>
          <w:p>
            <w:pPr>
              <w:pStyle w:val="180"/>
            </w:pPr>
          </w:p>
        </w:tc>
        <w:tc>
          <w:tcPr>
            <w:tcW w:w="778" w:type="dxa"/>
            <w:shd w:val="clear" w:color="auto" w:fill="auto"/>
            <w:vAlign w:val="center"/>
          </w:tcPr>
          <w:p>
            <w:pPr>
              <w:pStyle w:val="180"/>
            </w:pPr>
          </w:p>
        </w:tc>
        <w:tc>
          <w:tcPr>
            <w:tcW w:w="777" w:type="dxa"/>
            <w:shd w:val="clear" w:color="auto" w:fill="auto"/>
            <w:vAlign w:val="center"/>
          </w:tcPr>
          <w:p>
            <w:pPr>
              <w:pStyle w:val="180"/>
            </w:pPr>
          </w:p>
        </w:tc>
        <w:tc>
          <w:tcPr>
            <w:tcW w:w="777"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c>
          <w:tcPr>
            <w:tcW w:w="778" w:type="dxa"/>
            <w:shd w:val="clear" w:color="auto" w:fill="auto"/>
            <w:vAlign w:val="center"/>
          </w:tcPr>
          <w:p>
            <w:pPr>
              <w:pStyle w:val="180"/>
            </w:pPr>
          </w:p>
        </w:tc>
      </w:tr>
    </w:tbl>
    <w:p>
      <w:pPr>
        <w:pStyle w:val="58"/>
        <w:ind w:firstLine="420"/>
        <w:rPr>
          <w:rFonts w:hint="eastAsia" w:ascii="Times New Roman"/>
          <w:szCs w:val="21"/>
        </w:rPr>
      </w:pPr>
    </w:p>
    <w:p>
      <w:pPr>
        <w:pStyle w:val="96"/>
        <w:spacing w:before="156" w:after="156"/>
        <w:rPr>
          <w:rFonts w:ascii="Times New Roman"/>
          <w:bCs/>
          <w:szCs w:val="21"/>
        </w:rPr>
      </w:pPr>
      <w:r>
        <w:rPr>
          <w:rFonts w:ascii="Times New Roman"/>
          <w:bCs/>
          <w:szCs w:val="21"/>
        </w:rPr>
        <w:t>保护地</w:t>
      </w:r>
      <w:r>
        <w:rPr>
          <w:rFonts w:hint="eastAsia" w:ascii="Times New Roman"/>
          <w:bCs/>
          <w:szCs w:val="21"/>
        </w:rPr>
        <w:t>调查</w:t>
      </w:r>
    </w:p>
    <w:p>
      <w:pPr>
        <w:pStyle w:val="58"/>
        <w:ind w:firstLine="420"/>
        <w:rPr>
          <w:rFonts w:ascii="Times New Roman"/>
          <w:szCs w:val="21"/>
        </w:rPr>
      </w:pPr>
      <w:r>
        <w:rPr>
          <w:rFonts w:ascii="Times New Roman"/>
          <w:szCs w:val="21"/>
        </w:rPr>
        <w:t>每个棚室布设</w:t>
      </w:r>
      <w:r>
        <w:rPr>
          <w:rFonts w:hint="eastAsia" w:ascii="Times New Roman"/>
          <w:szCs w:val="21"/>
          <w:lang w:val="en-US" w:eastAsia="zh-CN"/>
        </w:rPr>
        <w:t>3</w:t>
      </w:r>
      <w:r>
        <w:rPr>
          <w:rFonts w:ascii="Times New Roman"/>
          <w:szCs w:val="21"/>
        </w:rPr>
        <w:t xml:space="preserve"> 个诱捕器（三角形粘胶式）。苗期，</w:t>
      </w:r>
      <w:r>
        <w:rPr>
          <w:rFonts w:hint="eastAsia" w:ascii="Times New Roman"/>
          <w:szCs w:val="21"/>
          <w:lang w:val="en-US" w:eastAsia="zh-CN"/>
        </w:rPr>
        <w:t>3</w:t>
      </w:r>
      <w:r>
        <w:rPr>
          <w:rFonts w:ascii="Times New Roman"/>
          <w:szCs w:val="21"/>
        </w:rPr>
        <w:t>个诱捕器布</w:t>
      </w:r>
      <w:r>
        <w:rPr>
          <w:rFonts w:hint="eastAsia" w:ascii="Times New Roman"/>
          <w:szCs w:val="21"/>
        </w:rPr>
        <w:t>分别</w:t>
      </w:r>
      <w:r>
        <w:rPr>
          <w:rFonts w:ascii="Times New Roman"/>
          <w:szCs w:val="21"/>
        </w:rPr>
        <w:t>设</w:t>
      </w:r>
      <w:r>
        <w:rPr>
          <w:rFonts w:hint="eastAsia" w:ascii="Times New Roman"/>
          <w:szCs w:val="21"/>
        </w:rPr>
        <w:t>于棚室</w:t>
      </w:r>
      <w:r>
        <w:rPr>
          <w:rFonts w:ascii="Times New Roman"/>
          <w:szCs w:val="21"/>
        </w:rPr>
        <w:t>入口处</w:t>
      </w:r>
      <w:r>
        <w:rPr>
          <w:rFonts w:hint="eastAsia" w:ascii="Times New Roman"/>
          <w:szCs w:val="21"/>
          <w:lang w:eastAsia="zh-CN"/>
        </w:rPr>
        <w:t>、</w:t>
      </w:r>
      <w:r>
        <w:rPr>
          <w:rFonts w:ascii="Times New Roman"/>
          <w:szCs w:val="21"/>
        </w:rPr>
        <w:t>中</w:t>
      </w:r>
      <w:r>
        <w:rPr>
          <w:rFonts w:hint="eastAsia" w:ascii="Times New Roman"/>
          <w:szCs w:val="21"/>
          <w:lang w:eastAsia="zh-CN"/>
        </w:rPr>
        <w:t>部和</w:t>
      </w:r>
      <w:r>
        <w:rPr>
          <w:rFonts w:ascii="Times New Roman"/>
          <w:szCs w:val="21"/>
        </w:rPr>
        <w:t>后部，诱捕器与番茄边行距离约1m</w:t>
      </w:r>
      <w:r>
        <w:rPr>
          <w:rFonts w:hint="eastAsia" w:ascii="Times New Roman"/>
          <w:szCs w:val="21"/>
          <w:lang w:eastAsia="zh-CN"/>
        </w:rPr>
        <w:t>，</w:t>
      </w:r>
      <w:r>
        <w:rPr>
          <w:rFonts w:ascii="Times New Roman"/>
          <w:szCs w:val="21"/>
        </w:rPr>
        <w:t>悬挂高度为诱捕器底部与地面距离 0.2 m~0.3 m</w:t>
      </w:r>
      <w:r>
        <w:rPr>
          <w:rFonts w:hint="eastAsia" w:ascii="Times New Roman"/>
          <w:szCs w:val="21"/>
        </w:rPr>
        <w:t>，略高于幼苗顶部；</w:t>
      </w:r>
      <w:r>
        <w:rPr>
          <w:rFonts w:ascii="Times New Roman"/>
          <w:szCs w:val="21"/>
        </w:rPr>
        <w:t>成株期，诱捕器放置于近通道的田埂上，与番茄边行相距1m</w:t>
      </w:r>
      <w:r>
        <w:rPr>
          <w:rFonts w:hint="eastAsia" w:ascii="Times New Roman"/>
          <w:szCs w:val="21"/>
          <w:lang w:eastAsia="zh-CN"/>
        </w:rPr>
        <w:t>，</w:t>
      </w:r>
      <w:r>
        <w:rPr>
          <w:rFonts w:ascii="Times New Roman"/>
          <w:szCs w:val="21"/>
        </w:rPr>
        <w:t>悬挂高度</w:t>
      </w:r>
      <w:r>
        <w:rPr>
          <w:rFonts w:hint="eastAsia" w:ascii="Times New Roman"/>
          <w:szCs w:val="21"/>
        </w:rPr>
        <w:t>与作物顶部幼</w:t>
      </w:r>
      <w:r>
        <w:rPr>
          <w:rFonts w:ascii="Times New Roman"/>
          <w:szCs w:val="21"/>
        </w:rPr>
        <w:t>嫩</w:t>
      </w:r>
      <w:r>
        <w:rPr>
          <w:rFonts w:hint="eastAsia" w:ascii="Times New Roman"/>
          <w:szCs w:val="21"/>
        </w:rPr>
        <w:t>叶片基本平行</w:t>
      </w:r>
      <w:r>
        <w:rPr>
          <w:rFonts w:ascii="Times New Roman"/>
          <w:szCs w:val="21"/>
        </w:rPr>
        <w:t>。粘虫板根据粘虫数量及粘性7 d~15</w:t>
      </w:r>
      <w:r>
        <w:rPr>
          <w:rFonts w:hint="eastAsia" w:ascii="Times New Roman"/>
          <w:szCs w:val="21"/>
        </w:rPr>
        <w:t xml:space="preserve"> </w:t>
      </w:r>
      <w:r>
        <w:rPr>
          <w:rFonts w:ascii="Times New Roman"/>
          <w:szCs w:val="21"/>
        </w:rPr>
        <w:t>d更换一次，诱芯</w:t>
      </w:r>
      <w:r>
        <w:rPr>
          <w:rFonts w:hint="eastAsia" w:ascii="Times New Roman"/>
          <w:szCs w:val="21"/>
          <w:lang w:eastAsia="zh-CN"/>
        </w:rPr>
        <w:t>根据持效期及时</w:t>
      </w:r>
      <w:r>
        <w:rPr>
          <w:rFonts w:ascii="Times New Roman"/>
          <w:szCs w:val="21"/>
        </w:rPr>
        <w:t>更换，调查结果记入表1</w:t>
      </w:r>
      <w:r>
        <w:rPr>
          <w:rFonts w:hint="eastAsia" w:ascii="Times New Roman"/>
          <w:szCs w:val="21"/>
        </w:rPr>
        <w:t>。</w:t>
      </w:r>
    </w:p>
    <w:p>
      <w:pPr>
        <w:pStyle w:val="67"/>
        <w:spacing w:before="156" w:after="156"/>
        <w:rPr>
          <w:rFonts w:ascii="Times New Roman"/>
          <w:bCs/>
          <w:szCs w:val="21"/>
        </w:rPr>
      </w:pPr>
      <w:r>
        <w:rPr>
          <w:rFonts w:hint="eastAsia" w:ascii="Times New Roman"/>
          <w:bCs/>
          <w:szCs w:val="21"/>
          <w:lang w:eastAsia="zh-CN"/>
        </w:rPr>
        <w:t>卵、幼虫和蛹调查</w:t>
      </w:r>
    </w:p>
    <w:p>
      <w:pPr>
        <w:pStyle w:val="58"/>
        <w:ind w:firstLine="420"/>
        <w:rPr>
          <w:rFonts w:ascii="Times New Roman"/>
          <w:szCs w:val="21"/>
        </w:rPr>
      </w:pPr>
      <w:r>
        <w:rPr>
          <w:rFonts w:ascii="Times New Roman"/>
          <w:szCs w:val="21"/>
        </w:rPr>
        <w:t>选择</w:t>
      </w:r>
      <w:r>
        <w:rPr>
          <w:rFonts w:hint="eastAsia" w:ascii="Times New Roman"/>
          <w:szCs w:val="21"/>
        </w:rPr>
        <w:t>调查作物</w:t>
      </w:r>
      <w:r>
        <w:rPr>
          <w:rFonts w:ascii="Times New Roman"/>
          <w:szCs w:val="21"/>
        </w:rPr>
        <w:t>露地和保护地各3块定点调查</w:t>
      </w:r>
      <w:r>
        <w:rPr>
          <w:rFonts w:hint="eastAsia" w:ascii="Times New Roman"/>
          <w:szCs w:val="21"/>
        </w:rPr>
        <w:t>。</w:t>
      </w:r>
      <w:r>
        <w:rPr>
          <w:rFonts w:ascii="Times New Roman"/>
          <w:szCs w:val="21"/>
        </w:rPr>
        <w:t>采取对角线5点取样法，每块田固定5点，每点苗期选10株，</w:t>
      </w:r>
      <w:r>
        <w:rPr>
          <w:rFonts w:hint="eastAsia" w:ascii="Times New Roman"/>
          <w:szCs w:val="21"/>
        </w:rPr>
        <w:t>成株期</w:t>
      </w:r>
      <w:r>
        <w:rPr>
          <w:rFonts w:ascii="Times New Roman"/>
          <w:szCs w:val="21"/>
        </w:rPr>
        <w:t>选5株，</w:t>
      </w:r>
      <w:r>
        <w:rPr>
          <w:rFonts w:hint="eastAsia"/>
          <w:lang w:eastAsia="zh-CN"/>
        </w:rPr>
        <w:t>调查时仔细观察植株叶片背面、正面和顶芽、嫩梢、茎秆、果实、果萼上等易受害或易产卵部位，</w:t>
      </w:r>
      <w:r>
        <w:rPr>
          <w:rFonts w:ascii="Times New Roman"/>
          <w:szCs w:val="21"/>
        </w:rPr>
        <w:t>记</w:t>
      </w:r>
      <w:r>
        <w:rPr>
          <w:rFonts w:ascii="Times New Roman"/>
          <w:color w:val="000000"/>
          <w:szCs w:val="21"/>
        </w:rPr>
        <w:t>录卵、1龄~2龄幼虫、3龄幼虫、4龄幼虫、</w:t>
      </w:r>
      <w:r>
        <w:rPr>
          <w:rFonts w:ascii="Times New Roman"/>
          <w:szCs w:val="21"/>
        </w:rPr>
        <w:t>蛹的数量</w:t>
      </w:r>
      <w:r>
        <w:rPr>
          <w:rFonts w:hint="eastAsia" w:ascii="Times New Roman"/>
          <w:szCs w:val="21"/>
          <w:lang w:eastAsia="zh-CN"/>
        </w:rPr>
        <w:t>，</w:t>
      </w:r>
      <w:r>
        <w:rPr>
          <w:rFonts w:ascii="Times New Roman"/>
          <w:szCs w:val="21"/>
        </w:rPr>
        <w:t>折算各虫态</w:t>
      </w:r>
      <w:r>
        <w:rPr>
          <w:rFonts w:hint="eastAsia" w:ascii="Times New Roman"/>
          <w:szCs w:val="21"/>
        </w:rPr>
        <w:t>比</w:t>
      </w:r>
      <w:r>
        <w:rPr>
          <w:rFonts w:ascii="Times New Roman"/>
          <w:szCs w:val="21"/>
        </w:rPr>
        <w:t>率</w:t>
      </w:r>
      <w:r>
        <w:rPr>
          <w:rFonts w:hint="eastAsia" w:ascii="Times New Roman"/>
          <w:szCs w:val="21"/>
          <w:lang w:eastAsia="zh-CN"/>
        </w:rPr>
        <w:t>。</w:t>
      </w:r>
      <w:r>
        <w:rPr>
          <w:rFonts w:ascii="Times New Roman"/>
          <w:szCs w:val="21"/>
        </w:rPr>
        <w:t>各虫态形态特征</w:t>
      </w:r>
      <w:r>
        <w:rPr>
          <w:rFonts w:hint="eastAsia" w:ascii="Times New Roman"/>
          <w:szCs w:val="21"/>
          <w:lang w:eastAsia="zh-CN"/>
        </w:rPr>
        <w:t>参</w:t>
      </w:r>
      <w:r>
        <w:rPr>
          <w:rFonts w:ascii="Times New Roman"/>
          <w:szCs w:val="21"/>
        </w:rPr>
        <w:t>见附录</w:t>
      </w:r>
      <w:r>
        <w:rPr>
          <w:rFonts w:hint="eastAsia" w:ascii="Times New Roman"/>
          <w:szCs w:val="21"/>
        </w:rPr>
        <w:t>A</w:t>
      </w:r>
      <w:r>
        <w:rPr>
          <w:rFonts w:ascii="Times New Roman"/>
          <w:szCs w:val="21"/>
        </w:rPr>
        <w:t>，调查结果记入表2</w:t>
      </w:r>
      <w:r>
        <w:rPr>
          <w:rFonts w:hint="eastAsia" w:ascii="Times New Roman"/>
          <w:szCs w:val="21"/>
        </w:rPr>
        <w:t>。</w:t>
      </w:r>
    </w:p>
    <w:p>
      <w:pPr>
        <w:pStyle w:val="114"/>
        <w:spacing w:before="156" w:after="156"/>
        <w:rPr>
          <w:rFonts w:ascii="Times New Roman"/>
          <w:szCs w:val="21"/>
        </w:rPr>
      </w:pPr>
      <w:r>
        <w:rPr>
          <w:rFonts w:ascii="Times New Roman"/>
          <w:szCs w:val="21"/>
        </w:rPr>
        <w:t>番茄潜叶蛾虫口密度和发育进度系统调查</w:t>
      </w:r>
      <w:r>
        <w:rPr>
          <w:rFonts w:hint="eastAsia" w:ascii="Times New Roman"/>
          <w:szCs w:val="21"/>
        </w:rPr>
        <w:t>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49"/>
        <w:gridCol w:w="549"/>
        <w:gridCol w:w="549"/>
        <w:gridCol w:w="549"/>
        <w:gridCol w:w="549"/>
        <w:gridCol w:w="549"/>
        <w:gridCol w:w="550"/>
        <w:gridCol w:w="549"/>
        <w:gridCol w:w="549"/>
        <w:gridCol w:w="549"/>
        <w:gridCol w:w="549"/>
        <w:gridCol w:w="549"/>
        <w:gridCol w:w="549"/>
        <w:gridCol w:w="549"/>
        <w:gridCol w:w="549"/>
        <w:gridCol w:w="549"/>
        <w:gridCol w:w="5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49" w:type="dxa"/>
            <w:vMerge w:val="restart"/>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调查时间</w:t>
            </w:r>
          </w:p>
        </w:tc>
        <w:tc>
          <w:tcPr>
            <w:tcW w:w="549" w:type="dxa"/>
            <w:vMerge w:val="restart"/>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调查地点</w:t>
            </w:r>
          </w:p>
        </w:tc>
        <w:tc>
          <w:tcPr>
            <w:tcW w:w="549" w:type="dxa"/>
            <w:vMerge w:val="restart"/>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田块类型</w:t>
            </w:r>
          </w:p>
        </w:tc>
        <w:tc>
          <w:tcPr>
            <w:tcW w:w="549" w:type="dxa"/>
            <w:vMerge w:val="restart"/>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播期</w:t>
            </w:r>
          </w:p>
        </w:tc>
        <w:tc>
          <w:tcPr>
            <w:tcW w:w="549" w:type="dxa"/>
            <w:vMerge w:val="restart"/>
            <w:tcBorders>
              <w:top w:val="single" w:color="auto" w:sz="8" w:space="0"/>
            </w:tcBorders>
            <w:shd w:val="clear" w:color="auto" w:fill="auto"/>
            <w:vAlign w:val="center"/>
          </w:tcPr>
          <w:p>
            <w:pPr>
              <w:pStyle w:val="180"/>
            </w:pPr>
            <w:r>
              <w:rPr>
                <w:rFonts w:ascii="Times New Roman"/>
                <w:szCs w:val="18"/>
              </w:rPr>
              <w:t>生育期</w:t>
            </w:r>
          </w:p>
        </w:tc>
        <w:tc>
          <w:tcPr>
            <w:tcW w:w="3295" w:type="dxa"/>
            <w:gridSpan w:val="6"/>
            <w:tcBorders>
              <w:top w:val="single" w:color="auto" w:sz="8" w:space="0"/>
              <w:bottom w:val="single" w:color="auto" w:sz="8" w:space="0"/>
            </w:tcBorders>
            <w:shd w:val="clear" w:color="auto" w:fill="auto"/>
            <w:vAlign w:val="center"/>
          </w:tcPr>
          <w:p>
            <w:pPr>
              <w:pStyle w:val="180"/>
            </w:pPr>
            <w:r>
              <w:rPr>
                <w:rFonts w:ascii="Times New Roman"/>
                <w:szCs w:val="18"/>
              </w:rPr>
              <w:t>各虫态数量（头/百株）</w:t>
            </w:r>
          </w:p>
        </w:tc>
        <w:tc>
          <w:tcPr>
            <w:tcW w:w="2745" w:type="dxa"/>
            <w:gridSpan w:val="5"/>
            <w:tcBorders>
              <w:top w:val="single" w:color="auto" w:sz="8" w:space="0"/>
              <w:bottom w:val="single" w:color="auto" w:sz="8" w:space="0"/>
            </w:tcBorders>
            <w:shd w:val="clear" w:color="auto" w:fill="auto"/>
            <w:vAlign w:val="center"/>
          </w:tcPr>
          <w:p>
            <w:pPr>
              <w:pStyle w:val="180"/>
            </w:pPr>
            <w:r>
              <w:rPr>
                <w:rFonts w:ascii="Times New Roman"/>
                <w:szCs w:val="18"/>
              </w:rPr>
              <w:t>各虫态比率%</w:t>
            </w:r>
          </w:p>
        </w:tc>
        <w:tc>
          <w:tcPr>
            <w:tcW w:w="549" w:type="dxa"/>
            <w:vMerge w:val="restart"/>
            <w:tcBorders>
              <w:top w:val="single" w:color="auto" w:sz="8" w:space="0"/>
            </w:tcBorders>
            <w:shd w:val="clear" w:color="auto" w:fill="auto"/>
            <w:vAlign w:val="center"/>
          </w:tcPr>
          <w:p>
            <w:pPr>
              <w:pStyle w:val="180"/>
            </w:pPr>
            <w:r>
              <w:rPr>
                <w:rFonts w:ascii="Times New Roman"/>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49" w:type="dxa"/>
            <w:vMerge w:val="continue"/>
            <w:shd w:val="clear" w:color="auto" w:fill="auto"/>
            <w:vAlign w:val="center"/>
          </w:tcPr>
          <w:p>
            <w:pPr>
              <w:pStyle w:val="180"/>
            </w:pPr>
          </w:p>
        </w:tc>
        <w:tc>
          <w:tcPr>
            <w:tcW w:w="549" w:type="dxa"/>
            <w:vMerge w:val="continue"/>
            <w:shd w:val="clear" w:color="auto" w:fill="auto"/>
            <w:vAlign w:val="center"/>
          </w:tcPr>
          <w:p>
            <w:pPr>
              <w:pStyle w:val="180"/>
            </w:pPr>
          </w:p>
        </w:tc>
        <w:tc>
          <w:tcPr>
            <w:tcW w:w="549" w:type="dxa"/>
            <w:vMerge w:val="continue"/>
            <w:shd w:val="clear" w:color="auto" w:fill="auto"/>
            <w:vAlign w:val="center"/>
          </w:tcPr>
          <w:p>
            <w:pPr>
              <w:pStyle w:val="180"/>
            </w:pPr>
          </w:p>
        </w:tc>
        <w:tc>
          <w:tcPr>
            <w:tcW w:w="549" w:type="dxa"/>
            <w:vMerge w:val="continue"/>
            <w:shd w:val="clear" w:color="auto" w:fill="auto"/>
            <w:vAlign w:val="center"/>
          </w:tcPr>
          <w:p>
            <w:pPr>
              <w:pStyle w:val="180"/>
            </w:pPr>
          </w:p>
        </w:tc>
        <w:tc>
          <w:tcPr>
            <w:tcW w:w="549" w:type="dxa"/>
            <w:vMerge w:val="continue"/>
            <w:shd w:val="clear" w:color="auto" w:fill="auto"/>
            <w:vAlign w:val="center"/>
          </w:tcPr>
          <w:p>
            <w:pPr>
              <w:pStyle w:val="180"/>
            </w:pP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卵</w:t>
            </w:r>
          </w:p>
        </w:tc>
        <w:tc>
          <w:tcPr>
            <w:tcW w:w="550"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1龄~2龄</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3龄</w:t>
            </w:r>
          </w:p>
        </w:tc>
        <w:tc>
          <w:tcPr>
            <w:tcW w:w="549" w:type="dxa"/>
            <w:tcBorders>
              <w:top w:val="single" w:color="auto" w:sz="8" w:space="0"/>
            </w:tcBorders>
            <w:shd w:val="clear" w:color="auto" w:fill="auto"/>
            <w:vAlign w:val="center"/>
          </w:tcPr>
          <w:p>
            <w:pPr>
              <w:tabs>
                <w:tab w:val="left" w:pos="654"/>
              </w:tabs>
              <w:adjustRightInd/>
              <w:spacing w:line="240" w:lineRule="auto"/>
              <w:rPr>
                <w:rFonts w:ascii="Times New Roman" w:hAnsi="Times New Roman"/>
                <w:color w:val="000000"/>
                <w:sz w:val="18"/>
                <w:szCs w:val="18"/>
              </w:rPr>
            </w:pPr>
            <w:r>
              <w:rPr>
                <w:rFonts w:ascii="Times New Roman" w:hAnsi="Times New Roman"/>
                <w:color w:val="000000"/>
                <w:sz w:val="18"/>
                <w:szCs w:val="18"/>
              </w:rPr>
              <w:t>4龄</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蛹</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总虫数</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卵</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1龄~2龄</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3龄</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4龄</w:t>
            </w:r>
          </w:p>
        </w:tc>
        <w:tc>
          <w:tcPr>
            <w:tcW w:w="549"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蛹</w:t>
            </w:r>
          </w:p>
        </w:tc>
        <w:tc>
          <w:tcPr>
            <w:tcW w:w="549" w:type="dxa"/>
            <w:vMerge w:val="continue"/>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50"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50"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r>
    </w:tbl>
    <w:p>
      <w:pPr>
        <w:pStyle w:val="58"/>
        <w:ind w:firstLine="420"/>
      </w:pPr>
    </w:p>
    <w:p>
      <w:pPr>
        <w:pStyle w:val="106"/>
        <w:spacing w:before="312" w:after="312"/>
      </w:pPr>
      <w:bookmarkStart w:id="53" w:name="_Toc1907627710"/>
      <w:bookmarkStart w:id="54" w:name="_Toc127286533"/>
      <w:r>
        <w:rPr>
          <w:rFonts w:hint="eastAsia"/>
        </w:rPr>
        <w:t>大田普查</w:t>
      </w:r>
      <w:bookmarkEnd w:id="53"/>
      <w:bookmarkEnd w:id="54"/>
    </w:p>
    <w:p>
      <w:pPr>
        <w:pStyle w:val="107"/>
        <w:spacing w:before="156" w:after="156"/>
      </w:pPr>
      <w:bookmarkStart w:id="55" w:name="_Toc127286534"/>
      <w:r>
        <w:rPr>
          <w:rFonts w:hint="eastAsia"/>
        </w:rPr>
        <w:t>调查时间</w:t>
      </w:r>
      <w:bookmarkEnd w:id="55"/>
    </w:p>
    <w:p>
      <w:pPr>
        <w:pStyle w:val="58"/>
        <w:ind w:firstLine="420"/>
        <w:rPr>
          <w:rFonts w:ascii="Times New Roman"/>
          <w:szCs w:val="21"/>
        </w:rPr>
      </w:pPr>
      <w:r>
        <w:rPr>
          <w:rFonts w:hint="eastAsia" w:ascii="Times New Roman"/>
          <w:szCs w:val="21"/>
        </w:rPr>
        <w:t>寄主作物</w:t>
      </w:r>
      <w:r>
        <w:rPr>
          <w:rFonts w:ascii="Times New Roman"/>
          <w:szCs w:val="21"/>
        </w:rPr>
        <w:t>生长季节，</w:t>
      </w:r>
      <w:r>
        <w:rPr>
          <w:rFonts w:hint="eastAsia" w:ascii="Times New Roman"/>
          <w:szCs w:val="21"/>
          <w:lang w:eastAsia="zh-CN"/>
        </w:rPr>
        <w:t>系统调查确定的</w:t>
      </w:r>
      <w:r>
        <w:rPr>
          <w:rFonts w:ascii="Times New Roman"/>
          <w:szCs w:val="21"/>
        </w:rPr>
        <w:t>番茄潜叶蛾成虫高峰期后2 d ~ 5 d</w:t>
      </w:r>
      <w:r>
        <w:rPr>
          <w:rFonts w:hint="eastAsia" w:ascii="Times New Roman"/>
          <w:szCs w:val="21"/>
          <w:lang w:eastAsia="zh-CN"/>
        </w:rPr>
        <w:t>开始调查</w:t>
      </w:r>
      <w:r>
        <w:rPr>
          <w:rFonts w:ascii="Times New Roman"/>
          <w:szCs w:val="21"/>
        </w:rPr>
        <w:t>，每5</w:t>
      </w:r>
      <w:r>
        <w:rPr>
          <w:rFonts w:hint="eastAsia" w:ascii="Times New Roman"/>
          <w:szCs w:val="21"/>
        </w:rPr>
        <w:t xml:space="preserve"> </w:t>
      </w:r>
      <w:r>
        <w:rPr>
          <w:rFonts w:ascii="Times New Roman"/>
          <w:szCs w:val="21"/>
        </w:rPr>
        <w:t>d普查1次</w:t>
      </w:r>
      <w:r>
        <w:rPr>
          <w:rFonts w:hint="eastAsia" w:ascii="Times New Roman"/>
          <w:szCs w:val="21"/>
        </w:rPr>
        <w:t>。</w:t>
      </w:r>
    </w:p>
    <w:p>
      <w:pPr>
        <w:pStyle w:val="107"/>
        <w:spacing w:before="156" w:after="156"/>
      </w:pPr>
      <w:bookmarkStart w:id="56" w:name="_Toc127286535"/>
      <w:r>
        <w:rPr>
          <w:rFonts w:hint="eastAsia"/>
        </w:rPr>
        <w:t>调查方法</w:t>
      </w:r>
      <w:bookmarkEnd w:id="56"/>
    </w:p>
    <w:p>
      <w:pPr>
        <w:pStyle w:val="58"/>
        <w:ind w:firstLine="420"/>
        <w:rPr>
          <w:rFonts w:ascii="Times New Roman"/>
          <w:szCs w:val="21"/>
        </w:rPr>
      </w:pPr>
      <w:r>
        <w:rPr>
          <w:rFonts w:ascii="Times New Roman"/>
          <w:szCs w:val="21"/>
        </w:rPr>
        <w:t>选择</w:t>
      </w:r>
      <w:r>
        <w:rPr>
          <w:rFonts w:hint="eastAsia" w:ascii="Times New Roman"/>
          <w:szCs w:val="21"/>
        </w:rPr>
        <w:t>当地主要调查作物</w:t>
      </w:r>
      <w:r>
        <w:rPr>
          <w:rFonts w:ascii="Times New Roman"/>
          <w:szCs w:val="21"/>
        </w:rPr>
        <w:t>3~5个种植面积</w:t>
      </w:r>
      <w:r>
        <w:rPr>
          <w:rFonts w:hint="eastAsia" w:ascii="Times New Roman"/>
          <w:szCs w:val="21"/>
          <w:lang w:eastAsia="zh-CN"/>
        </w:rPr>
        <w:t>大于</w:t>
      </w:r>
      <w:r>
        <w:rPr>
          <w:rFonts w:hint="eastAsia" w:ascii="Times New Roman"/>
          <w:szCs w:val="21"/>
          <w:lang w:val="en-US" w:eastAsia="zh-CN"/>
        </w:rPr>
        <w:t>3335 ㎡</w:t>
      </w:r>
      <w:r>
        <w:rPr>
          <w:rFonts w:ascii="Times New Roman"/>
          <w:szCs w:val="21"/>
        </w:rPr>
        <w:t>的区域，每个区域调查露地</w:t>
      </w:r>
      <w:r>
        <w:rPr>
          <w:rFonts w:hint="eastAsia" w:ascii="Times New Roman"/>
          <w:szCs w:val="21"/>
        </w:rPr>
        <w:t>作物</w:t>
      </w:r>
      <w:r>
        <w:rPr>
          <w:rFonts w:ascii="Times New Roman"/>
          <w:szCs w:val="21"/>
        </w:rPr>
        <w:t>和保护地各3块，每块田采取对角线5点取样，每点</w:t>
      </w:r>
      <w:r>
        <w:rPr>
          <w:rFonts w:hint="eastAsia" w:ascii="Times New Roman"/>
          <w:szCs w:val="21"/>
        </w:rPr>
        <w:t>取</w:t>
      </w:r>
      <w:r>
        <w:rPr>
          <w:rFonts w:ascii="Times New Roman"/>
          <w:szCs w:val="21"/>
        </w:rPr>
        <w:t>10株</w:t>
      </w:r>
      <w:r>
        <w:rPr>
          <w:rFonts w:hint="eastAsia" w:ascii="Times New Roman"/>
          <w:szCs w:val="21"/>
        </w:rPr>
        <w:t>作物</w:t>
      </w:r>
      <w:r>
        <w:rPr>
          <w:rFonts w:ascii="Times New Roman"/>
          <w:szCs w:val="21"/>
        </w:rPr>
        <w:t>，调查</w:t>
      </w:r>
      <w:r>
        <w:rPr>
          <w:rFonts w:hint="eastAsia" w:ascii="Times New Roman"/>
          <w:szCs w:val="21"/>
        </w:rPr>
        <w:t>被害</w:t>
      </w:r>
      <w:r>
        <w:rPr>
          <w:rFonts w:ascii="Times New Roman"/>
          <w:szCs w:val="21"/>
        </w:rPr>
        <w:t>株数</w:t>
      </w:r>
      <w:r>
        <w:rPr>
          <w:rFonts w:hint="eastAsia" w:ascii="Times New Roman"/>
          <w:szCs w:val="21"/>
        </w:rPr>
        <w:t>和每株上卵、幼虫、蛹的个数，</w:t>
      </w:r>
      <w:r>
        <w:rPr>
          <w:rFonts w:ascii="Times New Roman"/>
          <w:szCs w:val="21"/>
        </w:rPr>
        <w:t>换算</w:t>
      </w:r>
      <w:r>
        <w:rPr>
          <w:rFonts w:hint="eastAsia" w:ascii="Times New Roman"/>
          <w:szCs w:val="21"/>
        </w:rPr>
        <w:t>成被害</w:t>
      </w:r>
      <w:r>
        <w:rPr>
          <w:rFonts w:ascii="Times New Roman"/>
          <w:szCs w:val="21"/>
        </w:rPr>
        <w:t>株率</w:t>
      </w:r>
      <w:r>
        <w:rPr>
          <w:rFonts w:hint="eastAsia" w:ascii="Times New Roman"/>
          <w:szCs w:val="21"/>
        </w:rPr>
        <w:t>、百株虫量</w:t>
      </w:r>
      <w:r>
        <w:rPr>
          <w:rFonts w:ascii="Times New Roman"/>
          <w:szCs w:val="21"/>
        </w:rPr>
        <w:t>。</w:t>
      </w:r>
      <w:r>
        <w:rPr>
          <w:rFonts w:hint="eastAsia" w:ascii="Times New Roman"/>
          <w:szCs w:val="21"/>
        </w:rPr>
        <w:t>同时每株作物从上、中、下部随机取2张叶片，每个取样点查60个叶片，每块田共查300张叶片，记录被害叶片数，换算成被害叶率</w:t>
      </w:r>
      <w:r>
        <w:rPr>
          <w:rFonts w:ascii="Times New Roman"/>
          <w:szCs w:val="21"/>
        </w:rPr>
        <w:t>。调查结果记入表</w:t>
      </w:r>
      <w:r>
        <w:rPr>
          <w:rFonts w:hint="eastAsia" w:ascii="Times New Roman"/>
          <w:szCs w:val="21"/>
        </w:rPr>
        <w:t>3。</w:t>
      </w:r>
    </w:p>
    <w:p>
      <w:pPr>
        <w:pStyle w:val="114"/>
        <w:spacing w:before="156" w:after="156"/>
        <w:rPr>
          <w:rFonts w:ascii="Times New Roman"/>
          <w:szCs w:val="21"/>
        </w:rPr>
      </w:pPr>
      <w:r>
        <w:rPr>
          <w:rFonts w:ascii="Times New Roman"/>
          <w:szCs w:val="21"/>
        </w:rPr>
        <w:t>番茄潜叶蛾虫量大田普查记载</w:t>
      </w:r>
      <w:r>
        <w:rPr>
          <w:rFonts w:hint="eastAsia" w:ascii="Times New Roman"/>
          <w:szCs w:val="21"/>
        </w:rPr>
        <w:t>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48"/>
        <w:gridCol w:w="548"/>
        <w:gridCol w:w="548"/>
        <w:gridCol w:w="548"/>
        <w:gridCol w:w="549"/>
        <w:gridCol w:w="549"/>
        <w:gridCol w:w="550"/>
        <w:gridCol w:w="549"/>
        <w:gridCol w:w="549"/>
        <w:gridCol w:w="549"/>
        <w:gridCol w:w="549"/>
        <w:gridCol w:w="550"/>
        <w:gridCol w:w="550"/>
        <w:gridCol w:w="550"/>
        <w:gridCol w:w="550"/>
        <w:gridCol w:w="549"/>
        <w:gridCol w:w="5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48" w:type="dxa"/>
            <w:vMerge w:val="restart"/>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调查</w:t>
            </w:r>
          </w:p>
          <w:p>
            <w:pPr>
              <w:pStyle w:val="12"/>
              <w:spacing w:line="240" w:lineRule="exact"/>
              <w:ind w:left="0" w:leftChars="0"/>
              <w:rPr>
                <w:rFonts w:eastAsia="宋体"/>
                <w:sz w:val="18"/>
                <w:szCs w:val="18"/>
              </w:rPr>
            </w:pPr>
            <w:r>
              <w:rPr>
                <w:rFonts w:hint="eastAsia" w:eastAsia="宋体"/>
                <w:sz w:val="18"/>
                <w:szCs w:val="18"/>
              </w:rPr>
              <w:t>时间</w:t>
            </w:r>
          </w:p>
        </w:tc>
        <w:tc>
          <w:tcPr>
            <w:tcW w:w="548" w:type="dxa"/>
            <w:vMerge w:val="restart"/>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调查地点</w:t>
            </w:r>
          </w:p>
        </w:tc>
        <w:tc>
          <w:tcPr>
            <w:tcW w:w="548" w:type="dxa"/>
            <w:vMerge w:val="restart"/>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田块类型</w:t>
            </w:r>
          </w:p>
        </w:tc>
        <w:tc>
          <w:tcPr>
            <w:tcW w:w="548" w:type="dxa"/>
            <w:vMerge w:val="restart"/>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调查作物</w:t>
            </w:r>
          </w:p>
        </w:tc>
        <w:tc>
          <w:tcPr>
            <w:tcW w:w="549" w:type="dxa"/>
            <w:vMerge w:val="restart"/>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生育期</w:t>
            </w:r>
          </w:p>
        </w:tc>
        <w:tc>
          <w:tcPr>
            <w:tcW w:w="1648" w:type="dxa"/>
            <w:gridSpan w:val="3"/>
            <w:tcBorders>
              <w:top w:val="single" w:color="auto" w:sz="8" w:space="0"/>
              <w:bottom w:val="single" w:color="auto" w:sz="8" w:space="0"/>
            </w:tcBorders>
            <w:shd w:val="clear" w:color="auto" w:fill="auto"/>
            <w:vAlign w:val="center"/>
          </w:tcPr>
          <w:p>
            <w:pPr>
              <w:pStyle w:val="180"/>
            </w:pPr>
            <w:r>
              <w:rPr>
                <w:rFonts w:hint="eastAsia"/>
                <w:kern w:val="2"/>
                <w:szCs w:val="18"/>
              </w:rPr>
              <w:t>株被害</w:t>
            </w:r>
          </w:p>
        </w:tc>
        <w:tc>
          <w:tcPr>
            <w:tcW w:w="1647" w:type="dxa"/>
            <w:gridSpan w:val="3"/>
            <w:tcBorders>
              <w:top w:val="single" w:color="auto" w:sz="8" w:space="0"/>
              <w:bottom w:val="single" w:color="auto" w:sz="8" w:space="0"/>
            </w:tcBorders>
            <w:shd w:val="clear" w:color="auto" w:fill="auto"/>
            <w:vAlign w:val="center"/>
          </w:tcPr>
          <w:p>
            <w:pPr>
              <w:pStyle w:val="180"/>
            </w:pPr>
            <w:r>
              <w:rPr>
                <w:rFonts w:hint="eastAsia"/>
              </w:rPr>
              <w:t>叶被害</w:t>
            </w:r>
          </w:p>
        </w:tc>
        <w:tc>
          <w:tcPr>
            <w:tcW w:w="2200" w:type="dxa"/>
            <w:gridSpan w:val="4"/>
            <w:tcBorders>
              <w:top w:val="single" w:color="auto" w:sz="8" w:space="0"/>
              <w:bottom w:val="single" w:color="auto" w:sz="8" w:space="0"/>
            </w:tcBorders>
            <w:shd w:val="clear" w:color="auto" w:fill="auto"/>
            <w:vAlign w:val="center"/>
          </w:tcPr>
          <w:p>
            <w:pPr>
              <w:pStyle w:val="180"/>
            </w:pPr>
            <w:r>
              <w:rPr>
                <w:rFonts w:hint="eastAsia"/>
                <w:kern w:val="2"/>
                <w:szCs w:val="18"/>
              </w:rPr>
              <w:t>百株虫量</w:t>
            </w:r>
          </w:p>
        </w:tc>
        <w:tc>
          <w:tcPr>
            <w:tcW w:w="549" w:type="dxa"/>
            <w:vMerge w:val="restart"/>
            <w:tcBorders>
              <w:top w:val="single" w:color="auto" w:sz="8" w:space="0"/>
            </w:tcBorders>
            <w:shd w:val="clear" w:color="auto" w:fill="auto"/>
            <w:vAlign w:val="center"/>
          </w:tcPr>
          <w:p>
            <w:pPr>
              <w:pStyle w:val="180"/>
            </w:pPr>
            <w:r>
              <w:rPr>
                <w:rFonts w:hint="eastAsia"/>
              </w:rPr>
              <w:t>发生程度</w:t>
            </w:r>
          </w:p>
        </w:tc>
        <w:tc>
          <w:tcPr>
            <w:tcW w:w="549" w:type="dxa"/>
            <w:vMerge w:val="restart"/>
            <w:tcBorders>
              <w:top w:val="single" w:color="auto" w:sz="8" w:space="0"/>
            </w:tcBorders>
            <w:shd w:val="clear" w:color="auto" w:fill="auto"/>
            <w:vAlign w:val="center"/>
          </w:tcPr>
          <w:p>
            <w:pPr>
              <w:pStyle w:val="180"/>
            </w:pPr>
            <w:r>
              <w:rPr>
                <w:rFonts w:hint="eastAsia"/>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48" w:type="dxa"/>
            <w:vMerge w:val="continue"/>
            <w:shd w:val="clear" w:color="auto" w:fill="auto"/>
            <w:vAlign w:val="center"/>
          </w:tcPr>
          <w:p>
            <w:pPr>
              <w:pStyle w:val="180"/>
            </w:pPr>
          </w:p>
        </w:tc>
        <w:tc>
          <w:tcPr>
            <w:tcW w:w="548" w:type="dxa"/>
            <w:vMerge w:val="continue"/>
            <w:shd w:val="clear" w:color="auto" w:fill="auto"/>
            <w:vAlign w:val="center"/>
          </w:tcPr>
          <w:p>
            <w:pPr>
              <w:pStyle w:val="180"/>
            </w:pPr>
          </w:p>
        </w:tc>
        <w:tc>
          <w:tcPr>
            <w:tcW w:w="548" w:type="dxa"/>
            <w:vMerge w:val="continue"/>
            <w:shd w:val="clear" w:color="auto" w:fill="auto"/>
            <w:vAlign w:val="center"/>
          </w:tcPr>
          <w:p>
            <w:pPr>
              <w:pStyle w:val="180"/>
            </w:pPr>
          </w:p>
        </w:tc>
        <w:tc>
          <w:tcPr>
            <w:tcW w:w="548" w:type="dxa"/>
            <w:vMerge w:val="continue"/>
            <w:shd w:val="clear" w:color="auto" w:fill="auto"/>
            <w:vAlign w:val="center"/>
          </w:tcPr>
          <w:p>
            <w:pPr>
              <w:pStyle w:val="180"/>
            </w:pPr>
          </w:p>
        </w:tc>
        <w:tc>
          <w:tcPr>
            <w:tcW w:w="549" w:type="dxa"/>
            <w:vMerge w:val="continue"/>
            <w:shd w:val="clear" w:color="auto" w:fill="auto"/>
            <w:vAlign w:val="center"/>
          </w:tcPr>
          <w:p>
            <w:pPr>
              <w:pStyle w:val="180"/>
            </w:pPr>
          </w:p>
        </w:tc>
        <w:tc>
          <w:tcPr>
            <w:tcW w:w="549" w:type="dxa"/>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总株数</w:t>
            </w:r>
          </w:p>
        </w:tc>
        <w:tc>
          <w:tcPr>
            <w:tcW w:w="550" w:type="dxa"/>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被害株数</w:t>
            </w:r>
          </w:p>
        </w:tc>
        <w:tc>
          <w:tcPr>
            <w:tcW w:w="549" w:type="dxa"/>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被害株率（%）</w:t>
            </w:r>
          </w:p>
        </w:tc>
        <w:tc>
          <w:tcPr>
            <w:tcW w:w="549" w:type="dxa"/>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总叶片数</w:t>
            </w:r>
          </w:p>
        </w:tc>
        <w:tc>
          <w:tcPr>
            <w:tcW w:w="549" w:type="dxa"/>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被害叶片数</w:t>
            </w:r>
          </w:p>
        </w:tc>
        <w:tc>
          <w:tcPr>
            <w:tcW w:w="549" w:type="dxa"/>
            <w:tcBorders>
              <w:top w:val="single" w:color="auto" w:sz="8" w:space="0"/>
            </w:tcBorders>
            <w:shd w:val="clear" w:color="auto" w:fill="auto"/>
            <w:vAlign w:val="center"/>
          </w:tcPr>
          <w:p>
            <w:pPr>
              <w:pStyle w:val="12"/>
              <w:spacing w:line="240" w:lineRule="exact"/>
              <w:ind w:left="0" w:leftChars="0"/>
              <w:rPr>
                <w:rFonts w:eastAsia="宋体"/>
                <w:sz w:val="18"/>
                <w:szCs w:val="18"/>
              </w:rPr>
            </w:pPr>
            <w:r>
              <w:rPr>
                <w:rFonts w:hint="eastAsia" w:eastAsia="宋体"/>
                <w:sz w:val="18"/>
                <w:szCs w:val="18"/>
              </w:rPr>
              <w:t>被害叶率（%）</w:t>
            </w:r>
          </w:p>
        </w:tc>
        <w:tc>
          <w:tcPr>
            <w:tcW w:w="550"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百</w:t>
            </w:r>
            <w:r>
              <w:rPr>
                <w:rFonts w:hint="eastAsia" w:ascii="Times New Roman" w:hAnsi="Times New Roman"/>
                <w:sz w:val="18"/>
                <w:szCs w:val="18"/>
              </w:rPr>
              <w:t>株</w:t>
            </w:r>
            <w:r>
              <w:rPr>
                <w:rFonts w:ascii="Times New Roman" w:hAnsi="Times New Roman"/>
                <w:sz w:val="18"/>
                <w:szCs w:val="18"/>
              </w:rPr>
              <w:t>卵量（粒）</w:t>
            </w:r>
          </w:p>
        </w:tc>
        <w:tc>
          <w:tcPr>
            <w:tcW w:w="550"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百</w:t>
            </w:r>
            <w:r>
              <w:rPr>
                <w:rFonts w:hint="eastAsia" w:ascii="Times New Roman" w:hAnsi="Times New Roman"/>
                <w:sz w:val="18"/>
                <w:szCs w:val="18"/>
              </w:rPr>
              <w:t>株幼</w:t>
            </w:r>
            <w:r>
              <w:rPr>
                <w:rFonts w:ascii="Times New Roman" w:hAnsi="Times New Roman"/>
                <w:sz w:val="18"/>
                <w:szCs w:val="18"/>
              </w:rPr>
              <w:t>虫量（头）</w:t>
            </w:r>
          </w:p>
        </w:tc>
        <w:tc>
          <w:tcPr>
            <w:tcW w:w="550"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ascii="Times New Roman" w:hAnsi="Times New Roman"/>
                <w:sz w:val="18"/>
                <w:szCs w:val="18"/>
              </w:rPr>
              <w:t>百</w:t>
            </w:r>
            <w:r>
              <w:rPr>
                <w:rFonts w:hint="eastAsia" w:ascii="Times New Roman" w:hAnsi="Times New Roman"/>
                <w:sz w:val="18"/>
                <w:szCs w:val="18"/>
              </w:rPr>
              <w:t>株</w:t>
            </w:r>
            <w:r>
              <w:rPr>
                <w:rFonts w:ascii="Times New Roman" w:hAnsi="Times New Roman"/>
                <w:sz w:val="18"/>
                <w:szCs w:val="18"/>
              </w:rPr>
              <w:t>蛹量（头）</w:t>
            </w:r>
          </w:p>
        </w:tc>
        <w:tc>
          <w:tcPr>
            <w:tcW w:w="550"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sz w:val="18"/>
                <w:szCs w:val="18"/>
              </w:rPr>
            </w:pPr>
            <w:r>
              <w:rPr>
                <w:rFonts w:hint="eastAsia" w:ascii="Times New Roman" w:hAnsi="Times New Roman"/>
                <w:sz w:val="18"/>
                <w:szCs w:val="18"/>
              </w:rPr>
              <w:t>百株虫量（头）</w:t>
            </w:r>
          </w:p>
        </w:tc>
        <w:tc>
          <w:tcPr>
            <w:tcW w:w="549" w:type="dxa"/>
            <w:vMerge w:val="continue"/>
            <w:shd w:val="clear" w:color="auto" w:fill="auto"/>
            <w:vAlign w:val="center"/>
          </w:tcPr>
          <w:p>
            <w:pPr>
              <w:pStyle w:val="180"/>
            </w:pPr>
          </w:p>
        </w:tc>
        <w:tc>
          <w:tcPr>
            <w:tcW w:w="549" w:type="dxa"/>
            <w:vMerge w:val="continue"/>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48" w:type="dxa"/>
            <w:shd w:val="clear" w:color="auto" w:fill="auto"/>
            <w:vAlign w:val="center"/>
          </w:tcPr>
          <w:p>
            <w:pPr>
              <w:pStyle w:val="180"/>
            </w:pPr>
          </w:p>
        </w:tc>
        <w:tc>
          <w:tcPr>
            <w:tcW w:w="548" w:type="dxa"/>
            <w:shd w:val="clear" w:color="auto" w:fill="auto"/>
            <w:vAlign w:val="center"/>
          </w:tcPr>
          <w:p>
            <w:pPr>
              <w:pStyle w:val="180"/>
            </w:pPr>
          </w:p>
        </w:tc>
        <w:tc>
          <w:tcPr>
            <w:tcW w:w="548" w:type="dxa"/>
            <w:shd w:val="clear" w:color="auto" w:fill="auto"/>
            <w:vAlign w:val="center"/>
          </w:tcPr>
          <w:p>
            <w:pPr>
              <w:pStyle w:val="180"/>
            </w:pPr>
          </w:p>
        </w:tc>
        <w:tc>
          <w:tcPr>
            <w:tcW w:w="548"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50"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50" w:type="dxa"/>
            <w:shd w:val="clear" w:color="auto" w:fill="auto"/>
            <w:vAlign w:val="center"/>
          </w:tcPr>
          <w:p>
            <w:pPr>
              <w:pStyle w:val="180"/>
            </w:pPr>
          </w:p>
        </w:tc>
        <w:tc>
          <w:tcPr>
            <w:tcW w:w="550" w:type="dxa"/>
            <w:shd w:val="clear" w:color="auto" w:fill="auto"/>
            <w:vAlign w:val="center"/>
          </w:tcPr>
          <w:p>
            <w:pPr>
              <w:pStyle w:val="180"/>
            </w:pPr>
          </w:p>
        </w:tc>
        <w:tc>
          <w:tcPr>
            <w:tcW w:w="550" w:type="dxa"/>
            <w:shd w:val="clear" w:color="auto" w:fill="auto"/>
            <w:vAlign w:val="center"/>
          </w:tcPr>
          <w:p>
            <w:pPr>
              <w:pStyle w:val="180"/>
            </w:pPr>
          </w:p>
        </w:tc>
        <w:tc>
          <w:tcPr>
            <w:tcW w:w="550"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48" w:type="dxa"/>
            <w:shd w:val="clear" w:color="auto" w:fill="auto"/>
            <w:vAlign w:val="center"/>
          </w:tcPr>
          <w:p>
            <w:pPr>
              <w:pStyle w:val="180"/>
            </w:pPr>
          </w:p>
        </w:tc>
        <w:tc>
          <w:tcPr>
            <w:tcW w:w="548" w:type="dxa"/>
            <w:shd w:val="clear" w:color="auto" w:fill="auto"/>
            <w:vAlign w:val="center"/>
          </w:tcPr>
          <w:p>
            <w:pPr>
              <w:pStyle w:val="180"/>
            </w:pPr>
          </w:p>
        </w:tc>
        <w:tc>
          <w:tcPr>
            <w:tcW w:w="548" w:type="dxa"/>
            <w:shd w:val="clear" w:color="auto" w:fill="auto"/>
            <w:vAlign w:val="center"/>
          </w:tcPr>
          <w:p>
            <w:pPr>
              <w:pStyle w:val="180"/>
            </w:pPr>
          </w:p>
        </w:tc>
        <w:tc>
          <w:tcPr>
            <w:tcW w:w="548"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50"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c>
          <w:tcPr>
            <w:tcW w:w="550" w:type="dxa"/>
            <w:shd w:val="clear" w:color="auto" w:fill="auto"/>
            <w:vAlign w:val="center"/>
          </w:tcPr>
          <w:p>
            <w:pPr>
              <w:pStyle w:val="180"/>
            </w:pPr>
          </w:p>
        </w:tc>
        <w:tc>
          <w:tcPr>
            <w:tcW w:w="550" w:type="dxa"/>
            <w:shd w:val="clear" w:color="auto" w:fill="auto"/>
            <w:vAlign w:val="center"/>
          </w:tcPr>
          <w:p>
            <w:pPr>
              <w:pStyle w:val="180"/>
            </w:pPr>
          </w:p>
        </w:tc>
        <w:tc>
          <w:tcPr>
            <w:tcW w:w="550" w:type="dxa"/>
            <w:shd w:val="clear" w:color="auto" w:fill="auto"/>
            <w:vAlign w:val="center"/>
          </w:tcPr>
          <w:p>
            <w:pPr>
              <w:pStyle w:val="180"/>
            </w:pPr>
          </w:p>
        </w:tc>
        <w:tc>
          <w:tcPr>
            <w:tcW w:w="550" w:type="dxa"/>
            <w:shd w:val="clear" w:color="auto" w:fill="auto"/>
            <w:vAlign w:val="center"/>
          </w:tcPr>
          <w:p>
            <w:pPr>
              <w:pStyle w:val="180"/>
            </w:pPr>
          </w:p>
        </w:tc>
        <w:tc>
          <w:tcPr>
            <w:tcW w:w="549" w:type="dxa"/>
            <w:shd w:val="clear" w:color="auto" w:fill="auto"/>
            <w:vAlign w:val="center"/>
          </w:tcPr>
          <w:p>
            <w:pPr>
              <w:pStyle w:val="180"/>
            </w:pPr>
          </w:p>
        </w:tc>
        <w:tc>
          <w:tcPr>
            <w:tcW w:w="549" w:type="dxa"/>
            <w:shd w:val="clear" w:color="auto" w:fill="auto"/>
            <w:vAlign w:val="center"/>
          </w:tcPr>
          <w:p>
            <w:pPr>
              <w:pStyle w:val="180"/>
            </w:pPr>
          </w:p>
        </w:tc>
      </w:tr>
    </w:tbl>
    <w:p>
      <w:pPr>
        <w:pStyle w:val="58"/>
        <w:ind w:firstLine="420"/>
      </w:pPr>
    </w:p>
    <w:p>
      <w:pPr>
        <w:pStyle w:val="106"/>
        <w:spacing w:before="312" w:after="312"/>
        <w:rPr>
          <w:rFonts w:ascii="Times New Roman"/>
          <w:bCs/>
          <w:szCs w:val="21"/>
        </w:rPr>
      </w:pPr>
      <w:bookmarkStart w:id="57" w:name="_Toc127286536"/>
      <w:bookmarkStart w:id="58" w:name="_Toc42592168"/>
      <w:r>
        <w:rPr>
          <w:rFonts w:ascii="Times New Roman"/>
          <w:bCs/>
          <w:szCs w:val="21"/>
        </w:rPr>
        <w:t>发生程度分级指</w:t>
      </w:r>
      <w:r>
        <w:rPr>
          <w:rFonts w:hint="eastAsia" w:ascii="Times New Roman"/>
          <w:bCs/>
          <w:szCs w:val="21"/>
        </w:rPr>
        <w:t>标</w:t>
      </w:r>
      <w:bookmarkEnd w:id="57"/>
      <w:bookmarkEnd w:id="58"/>
    </w:p>
    <w:p>
      <w:pPr>
        <w:pStyle w:val="58"/>
        <w:ind w:firstLine="420"/>
        <w:rPr>
          <w:rFonts w:ascii="Times New Roman"/>
          <w:szCs w:val="21"/>
        </w:rPr>
      </w:pPr>
      <w:r>
        <w:rPr>
          <w:rFonts w:ascii="Times New Roman"/>
          <w:szCs w:val="21"/>
        </w:rPr>
        <w:t>番茄潜叶蛾的发生程度以</w:t>
      </w:r>
      <w:r>
        <w:rPr>
          <w:rFonts w:hint="eastAsia" w:ascii="Times New Roman"/>
          <w:szCs w:val="21"/>
        </w:rPr>
        <w:t>大田普查被害株率、被害叶率和百株虫量</w:t>
      </w:r>
      <w:r>
        <w:rPr>
          <w:rFonts w:ascii="Times New Roman"/>
          <w:szCs w:val="21"/>
        </w:rPr>
        <w:t>为分级指标。发生程度分为轻发生（1级）、偏轻发生（2级）、中等发生（3级）、偏重发生（4级）、大发生（5级）五级。具体发生程度分级指标见表</w:t>
      </w:r>
      <w:r>
        <w:rPr>
          <w:rFonts w:hint="eastAsia" w:ascii="Times New Roman"/>
          <w:szCs w:val="21"/>
          <w:lang w:val="en-US" w:eastAsia="zh-CN"/>
        </w:rPr>
        <w:t>4</w:t>
      </w:r>
      <w:r>
        <w:rPr>
          <w:rFonts w:hint="eastAsia" w:ascii="Times New Roman"/>
          <w:szCs w:val="21"/>
        </w:rPr>
        <w:t>。</w:t>
      </w:r>
    </w:p>
    <w:p>
      <w:pPr>
        <w:pStyle w:val="114"/>
        <w:spacing w:before="156" w:after="156"/>
        <w:rPr>
          <w:rFonts w:ascii="Times New Roman"/>
          <w:bCs/>
          <w:szCs w:val="21"/>
        </w:rPr>
      </w:pPr>
      <w:r>
        <w:rPr>
          <w:rFonts w:ascii="Times New Roman"/>
          <w:bCs/>
          <w:szCs w:val="21"/>
        </w:rPr>
        <w:t>番茄潜叶蛾发生程度分级指</w:t>
      </w:r>
      <w:r>
        <w:rPr>
          <w:rFonts w:hint="eastAsia" w:ascii="Times New Roman"/>
          <w:bCs/>
          <w:szCs w:val="21"/>
        </w:rPr>
        <w:t>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vMerge w:val="restart"/>
            <w:tcBorders>
              <w:top w:val="single" w:color="auto" w:sz="8" w:space="0"/>
            </w:tcBorders>
            <w:shd w:val="clear" w:color="auto" w:fill="auto"/>
            <w:vAlign w:val="center"/>
          </w:tcPr>
          <w:p>
            <w:pPr>
              <w:pStyle w:val="180"/>
            </w:pPr>
            <w:r>
              <w:rPr>
                <w:rFonts w:hint="eastAsia"/>
              </w:rPr>
              <w:t>指标</w:t>
            </w:r>
          </w:p>
        </w:tc>
        <w:tc>
          <w:tcPr>
            <w:tcW w:w="7778" w:type="dxa"/>
            <w:gridSpan w:val="5"/>
            <w:tcBorders>
              <w:top w:val="single" w:color="auto" w:sz="8" w:space="0"/>
              <w:bottom w:val="single" w:color="auto" w:sz="8" w:space="0"/>
            </w:tcBorders>
            <w:shd w:val="clear" w:color="auto" w:fill="auto"/>
            <w:vAlign w:val="center"/>
          </w:tcPr>
          <w:p>
            <w:pPr>
              <w:pStyle w:val="180"/>
            </w:pPr>
            <w:r>
              <w:rPr>
                <w:rFonts w:ascii="Times New Roman"/>
                <w:bCs/>
                <w:szCs w:val="18"/>
              </w:rPr>
              <w:t>发生程度（级）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pPr>
              <w:pStyle w:val="180"/>
            </w:pPr>
          </w:p>
        </w:tc>
        <w:tc>
          <w:tcPr>
            <w:tcW w:w="1556" w:type="dxa"/>
            <w:tcBorders>
              <w:top w:val="single" w:color="auto" w:sz="8" w:space="0"/>
            </w:tcBorders>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1级</w:t>
            </w:r>
          </w:p>
        </w:tc>
        <w:tc>
          <w:tcPr>
            <w:tcW w:w="1555" w:type="dxa"/>
            <w:tcBorders>
              <w:top w:val="single" w:color="auto" w:sz="8" w:space="0"/>
            </w:tcBorders>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2级</w:t>
            </w:r>
          </w:p>
        </w:tc>
        <w:tc>
          <w:tcPr>
            <w:tcW w:w="1555" w:type="dxa"/>
            <w:tcBorders>
              <w:top w:val="single" w:color="auto" w:sz="8" w:space="0"/>
            </w:tcBorders>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3级</w:t>
            </w:r>
          </w:p>
        </w:tc>
        <w:tc>
          <w:tcPr>
            <w:tcW w:w="1556" w:type="dxa"/>
            <w:tcBorders>
              <w:top w:val="single" w:color="auto" w:sz="8" w:space="0"/>
            </w:tcBorders>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4级</w:t>
            </w:r>
          </w:p>
        </w:tc>
        <w:tc>
          <w:tcPr>
            <w:tcW w:w="1556" w:type="dxa"/>
            <w:tcBorders>
              <w:top w:val="single" w:color="auto" w:sz="8" w:space="0"/>
            </w:tcBorders>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5级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被害株率</w:t>
            </w:r>
            <w:r>
              <w:rPr>
                <w:rFonts w:ascii="Times New Roman" w:hAnsi="Times New Roman"/>
                <w:bCs/>
                <w:sz w:val="18"/>
                <w:szCs w:val="18"/>
              </w:rPr>
              <w:t>（X</w:t>
            </w:r>
            <w:r>
              <w:rPr>
                <w:rFonts w:hint="eastAsia" w:ascii="Times New Roman" w:hAnsi="Times New Roman"/>
                <w:bCs/>
                <w:sz w:val="18"/>
                <w:szCs w:val="18"/>
              </w:rPr>
              <w:t>，%</w:t>
            </w:r>
            <w:r>
              <w:rPr>
                <w:rFonts w:ascii="Times New Roman" w:hAnsi="Times New Roman"/>
                <w:bCs/>
                <w:sz w:val="18"/>
                <w:szCs w:val="18"/>
              </w:rPr>
              <w:t>）</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X≤</w:t>
            </w:r>
            <w:r>
              <w:rPr>
                <w:rFonts w:hint="eastAsia" w:ascii="Times New Roman" w:hAnsi="Times New Roman"/>
                <w:bCs/>
                <w:sz w:val="18"/>
                <w:szCs w:val="18"/>
              </w:rPr>
              <w:t>0.5</w:t>
            </w:r>
          </w:p>
        </w:tc>
        <w:tc>
          <w:tcPr>
            <w:tcW w:w="1555"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0.5</w:t>
            </w:r>
            <w:r>
              <w:rPr>
                <w:rFonts w:ascii="Times New Roman" w:hAnsi="Times New Roman"/>
                <w:bCs/>
                <w:sz w:val="18"/>
                <w:szCs w:val="18"/>
              </w:rPr>
              <w:t>＜X≤</w:t>
            </w:r>
            <w:r>
              <w:rPr>
                <w:rFonts w:hint="eastAsia" w:ascii="Times New Roman" w:hAnsi="Times New Roman"/>
                <w:bCs/>
                <w:sz w:val="18"/>
                <w:szCs w:val="18"/>
              </w:rPr>
              <w:t>2</w:t>
            </w:r>
          </w:p>
        </w:tc>
        <w:tc>
          <w:tcPr>
            <w:tcW w:w="1555"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2</w:t>
            </w:r>
            <w:r>
              <w:rPr>
                <w:rFonts w:ascii="Times New Roman" w:hAnsi="Times New Roman"/>
                <w:bCs/>
                <w:sz w:val="18"/>
                <w:szCs w:val="18"/>
              </w:rPr>
              <w:t>＜X≤</w:t>
            </w:r>
            <w:r>
              <w:rPr>
                <w:rFonts w:hint="eastAsia" w:ascii="Times New Roman" w:hAnsi="Times New Roman"/>
                <w:bCs/>
                <w:sz w:val="18"/>
                <w:szCs w:val="18"/>
              </w:rPr>
              <w:t>20</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20</w:t>
            </w:r>
            <w:r>
              <w:rPr>
                <w:rFonts w:ascii="Times New Roman" w:hAnsi="Times New Roman"/>
                <w:bCs/>
                <w:sz w:val="18"/>
                <w:szCs w:val="18"/>
              </w:rPr>
              <w:t>＜X≤</w:t>
            </w:r>
            <w:r>
              <w:rPr>
                <w:rFonts w:hint="eastAsia" w:ascii="Times New Roman" w:hAnsi="Times New Roman"/>
                <w:bCs/>
                <w:sz w:val="18"/>
                <w:szCs w:val="18"/>
              </w:rPr>
              <w:t>50</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X＞</w:t>
            </w:r>
            <w:r>
              <w:rPr>
                <w:rFonts w:hint="eastAsia" w:ascii="Times New Roman" w:hAnsi="Times New Roman"/>
                <w:bCs/>
                <w:sz w:val="18"/>
                <w:szCs w:val="18"/>
              </w:rPr>
              <w:t>5</w:t>
            </w:r>
            <w:r>
              <w:rPr>
                <w:rFonts w:ascii="Times New Roman" w:hAnsi="Times New Roman"/>
                <w:bCs/>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556"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被害叶率</w:t>
            </w:r>
            <w:r>
              <w:rPr>
                <w:rFonts w:ascii="Times New Roman" w:hAnsi="Times New Roman"/>
                <w:bCs/>
                <w:sz w:val="18"/>
                <w:szCs w:val="18"/>
              </w:rPr>
              <w:t>（Y</w:t>
            </w:r>
            <w:r>
              <w:rPr>
                <w:rFonts w:hint="eastAsia" w:ascii="Times New Roman" w:hAnsi="Times New Roman"/>
                <w:bCs/>
                <w:sz w:val="18"/>
                <w:szCs w:val="18"/>
              </w:rPr>
              <w:t>，</w:t>
            </w:r>
            <w:r>
              <w:rPr>
                <w:rFonts w:ascii="Times New Roman" w:hAnsi="Times New Roman"/>
                <w:bCs/>
                <w:sz w:val="18"/>
                <w:szCs w:val="18"/>
              </w:rPr>
              <w:t>%）</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Y≤</w:t>
            </w:r>
            <w:r>
              <w:rPr>
                <w:rFonts w:hint="eastAsia" w:ascii="Times New Roman" w:hAnsi="Times New Roman"/>
                <w:bCs/>
                <w:sz w:val="18"/>
                <w:szCs w:val="18"/>
              </w:rPr>
              <w:t>0.3</w:t>
            </w:r>
          </w:p>
        </w:tc>
        <w:tc>
          <w:tcPr>
            <w:tcW w:w="1555"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0.3</w:t>
            </w:r>
            <w:r>
              <w:rPr>
                <w:rFonts w:ascii="Times New Roman" w:hAnsi="Times New Roman"/>
                <w:bCs/>
                <w:sz w:val="18"/>
                <w:szCs w:val="18"/>
              </w:rPr>
              <w:t>＜Y≤</w:t>
            </w:r>
            <w:r>
              <w:rPr>
                <w:rFonts w:hint="eastAsia" w:ascii="Times New Roman" w:hAnsi="Times New Roman"/>
                <w:bCs/>
                <w:sz w:val="18"/>
                <w:szCs w:val="18"/>
              </w:rPr>
              <w:t>1.5</w:t>
            </w:r>
          </w:p>
        </w:tc>
        <w:tc>
          <w:tcPr>
            <w:tcW w:w="1555"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1.5</w:t>
            </w:r>
            <w:r>
              <w:rPr>
                <w:rFonts w:ascii="Times New Roman" w:hAnsi="Times New Roman"/>
                <w:bCs/>
                <w:sz w:val="18"/>
                <w:szCs w:val="18"/>
              </w:rPr>
              <w:t>＜Y≤</w:t>
            </w:r>
            <w:r>
              <w:rPr>
                <w:rFonts w:hint="eastAsia" w:ascii="Times New Roman" w:hAnsi="Times New Roman"/>
                <w:bCs/>
                <w:sz w:val="18"/>
                <w:szCs w:val="18"/>
              </w:rPr>
              <w:t>15</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15</w:t>
            </w:r>
            <w:r>
              <w:rPr>
                <w:rFonts w:ascii="Times New Roman" w:hAnsi="Times New Roman"/>
                <w:bCs/>
                <w:sz w:val="18"/>
                <w:szCs w:val="18"/>
              </w:rPr>
              <w:t>＜Y≤</w:t>
            </w:r>
            <w:r>
              <w:rPr>
                <w:rFonts w:hint="eastAsia" w:ascii="Times New Roman" w:hAnsi="Times New Roman"/>
                <w:bCs/>
                <w:sz w:val="18"/>
                <w:szCs w:val="18"/>
              </w:rPr>
              <w:t>40</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Y＞</w:t>
            </w:r>
            <w:r>
              <w:rPr>
                <w:rFonts w:hint="eastAsia" w:ascii="Times New Roman" w:hAnsi="Times New Roman"/>
                <w:bCs/>
                <w:sz w:val="18"/>
                <w:szCs w:val="18"/>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pPr>
              <w:adjustRightInd/>
              <w:spacing w:line="240" w:lineRule="auto"/>
              <w:jc w:val="center"/>
              <w:rPr>
                <w:rFonts w:ascii="Times New Roman" w:hAnsi="Times New Roman"/>
                <w:bCs/>
                <w:sz w:val="18"/>
                <w:szCs w:val="18"/>
              </w:rPr>
            </w:pPr>
            <w:r>
              <w:rPr>
                <w:rFonts w:ascii="Times New Roman" w:hAnsi="Times New Roman"/>
                <w:bCs/>
                <w:sz w:val="18"/>
                <w:szCs w:val="18"/>
              </w:rPr>
              <w:t>百株虫量</w:t>
            </w:r>
          </w:p>
          <w:p>
            <w:pPr>
              <w:adjustRightInd/>
              <w:spacing w:line="240" w:lineRule="auto"/>
              <w:jc w:val="center"/>
              <w:rPr>
                <w:rFonts w:ascii="Times New Roman" w:hAnsi="Times New Roman"/>
                <w:bCs/>
                <w:sz w:val="18"/>
                <w:szCs w:val="18"/>
              </w:rPr>
            </w:pPr>
            <w:r>
              <w:rPr>
                <w:rFonts w:ascii="Times New Roman" w:hAnsi="Times New Roman"/>
                <w:bCs/>
                <w:sz w:val="18"/>
                <w:szCs w:val="18"/>
              </w:rPr>
              <w:t>（</w:t>
            </w:r>
            <w:r>
              <w:rPr>
                <w:rFonts w:hint="eastAsia" w:ascii="Times New Roman" w:hAnsi="Times New Roman"/>
                <w:bCs/>
                <w:sz w:val="18"/>
                <w:szCs w:val="18"/>
              </w:rPr>
              <w:t>Z，</w:t>
            </w:r>
            <w:r>
              <w:rPr>
                <w:rFonts w:ascii="Times New Roman" w:hAnsi="Times New Roman"/>
                <w:bCs/>
                <w:sz w:val="18"/>
                <w:szCs w:val="18"/>
              </w:rPr>
              <w:t>头）</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Z</w:t>
            </w:r>
            <w:r>
              <w:rPr>
                <w:rFonts w:ascii="Times New Roman" w:hAnsi="Times New Roman"/>
                <w:bCs/>
                <w:sz w:val="18"/>
                <w:szCs w:val="18"/>
              </w:rPr>
              <w:t>≤</w:t>
            </w:r>
            <w:r>
              <w:rPr>
                <w:rFonts w:hint="eastAsia" w:ascii="Times New Roman" w:hAnsi="Times New Roman"/>
                <w:bCs/>
                <w:sz w:val="18"/>
                <w:szCs w:val="18"/>
              </w:rPr>
              <w:t>1</w:t>
            </w:r>
          </w:p>
        </w:tc>
        <w:tc>
          <w:tcPr>
            <w:tcW w:w="1555"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1</w:t>
            </w:r>
            <w:r>
              <w:rPr>
                <w:rFonts w:ascii="Times New Roman" w:hAnsi="Times New Roman"/>
                <w:bCs/>
                <w:sz w:val="18"/>
                <w:szCs w:val="18"/>
              </w:rPr>
              <w:t>＜</w:t>
            </w:r>
            <w:r>
              <w:rPr>
                <w:rFonts w:hint="eastAsia" w:ascii="Times New Roman" w:hAnsi="Times New Roman"/>
                <w:bCs/>
                <w:sz w:val="18"/>
                <w:szCs w:val="18"/>
              </w:rPr>
              <w:t>Z</w:t>
            </w:r>
            <w:r>
              <w:rPr>
                <w:rFonts w:ascii="Times New Roman" w:hAnsi="Times New Roman"/>
                <w:bCs/>
                <w:sz w:val="18"/>
                <w:szCs w:val="18"/>
              </w:rPr>
              <w:t>≤</w:t>
            </w:r>
            <w:r>
              <w:rPr>
                <w:rFonts w:hint="eastAsia" w:ascii="Times New Roman" w:hAnsi="Times New Roman"/>
                <w:bCs/>
                <w:sz w:val="18"/>
                <w:szCs w:val="18"/>
              </w:rPr>
              <w:t>4</w:t>
            </w:r>
          </w:p>
        </w:tc>
        <w:tc>
          <w:tcPr>
            <w:tcW w:w="1555"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4</w:t>
            </w:r>
            <w:r>
              <w:rPr>
                <w:rFonts w:ascii="Times New Roman" w:hAnsi="Times New Roman"/>
                <w:bCs/>
                <w:sz w:val="18"/>
                <w:szCs w:val="18"/>
              </w:rPr>
              <w:t>＜</w:t>
            </w:r>
            <w:r>
              <w:rPr>
                <w:rFonts w:hint="eastAsia" w:ascii="Times New Roman" w:hAnsi="Times New Roman"/>
                <w:bCs/>
                <w:sz w:val="18"/>
                <w:szCs w:val="18"/>
              </w:rPr>
              <w:t>Z</w:t>
            </w:r>
            <w:r>
              <w:rPr>
                <w:rFonts w:ascii="Times New Roman" w:hAnsi="Times New Roman"/>
                <w:bCs/>
                <w:sz w:val="18"/>
                <w:szCs w:val="18"/>
              </w:rPr>
              <w:t>≤</w:t>
            </w:r>
            <w:r>
              <w:rPr>
                <w:rFonts w:hint="eastAsia" w:ascii="Times New Roman" w:hAnsi="Times New Roman"/>
                <w:bCs/>
                <w:sz w:val="18"/>
                <w:szCs w:val="18"/>
              </w:rPr>
              <w:t>40</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40</w:t>
            </w:r>
            <w:r>
              <w:rPr>
                <w:rFonts w:ascii="Times New Roman" w:hAnsi="Times New Roman"/>
                <w:bCs/>
                <w:sz w:val="18"/>
                <w:szCs w:val="18"/>
              </w:rPr>
              <w:t>＜</w:t>
            </w:r>
            <w:r>
              <w:rPr>
                <w:rFonts w:hint="eastAsia" w:ascii="Times New Roman" w:hAnsi="Times New Roman"/>
                <w:bCs/>
                <w:sz w:val="18"/>
                <w:szCs w:val="18"/>
              </w:rPr>
              <w:t>Z</w:t>
            </w:r>
            <w:r>
              <w:rPr>
                <w:rFonts w:ascii="Times New Roman" w:hAnsi="Times New Roman"/>
                <w:bCs/>
                <w:sz w:val="18"/>
                <w:szCs w:val="18"/>
              </w:rPr>
              <w:t>≤</w:t>
            </w:r>
            <w:r>
              <w:rPr>
                <w:rFonts w:hint="eastAsia" w:ascii="Times New Roman" w:hAnsi="Times New Roman"/>
                <w:bCs/>
                <w:sz w:val="18"/>
                <w:szCs w:val="18"/>
              </w:rPr>
              <w:t>200</w:t>
            </w:r>
          </w:p>
        </w:tc>
        <w:tc>
          <w:tcPr>
            <w:tcW w:w="1556" w:type="dxa"/>
            <w:shd w:val="clear" w:color="auto" w:fill="auto"/>
            <w:vAlign w:val="center"/>
          </w:tcPr>
          <w:p>
            <w:pPr>
              <w:adjustRightInd/>
              <w:spacing w:line="240" w:lineRule="auto"/>
              <w:jc w:val="center"/>
              <w:rPr>
                <w:rFonts w:ascii="Times New Roman" w:hAnsi="Times New Roman"/>
                <w:bCs/>
                <w:sz w:val="18"/>
                <w:szCs w:val="18"/>
              </w:rPr>
            </w:pPr>
            <w:r>
              <w:rPr>
                <w:rFonts w:hint="eastAsia" w:ascii="Times New Roman" w:hAnsi="Times New Roman"/>
                <w:bCs/>
                <w:sz w:val="18"/>
                <w:szCs w:val="18"/>
              </w:rPr>
              <w:t>Z</w:t>
            </w:r>
            <w:r>
              <w:rPr>
                <w:rFonts w:ascii="Times New Roman" w:hAnsi="Times New Roman"/>
                <w:bCs/>
                <w:sz w:val="18"/>
                <w:szCs w:val="18"/>
              </w:rPr>
              <w:t>＞</w:t>
            </w:r>
            <w:r>
              <w:rPr>
                <w:rFonts w:hint="eastAsia" w:ascii="Times New Roman" w:hAnsi="Times New Roman"/>
                <w:bCs/>
                <w:sz w:val="18"/>
                <w:szCs w:val="18"/>
              </w:rPr>
              <w:t>200</w:t>
            </w:r>
          </w:p>
        </w:tc>
      </w:tr>
    </w:tbl>
    <w:p>
      <w:pPr>
        <w:pStyle w:val="58"/>
        <w:ind w:firstLine="420"/>
      </w:pPr>
    </w:p>
    <w:p>
      <w:pPr>
        <w:pStyle w:val="106"/>
        <w:spacing w:before="312" w:after="312"/>
      </w:pPr>
      <w:bookmarkStart w:id="59" w:name="_Toc127286537"/>
      <w:bookmarkStart w:id="60" w:name="_Toc2134209841"/>
      <w:r>
        <w:rPr>
          <w:rFonts w:hint="eastAsia"/>
        </w:rPr>
        <w:t>预测预报</w:t>
      </w:r>
      <w:bookmarkEnd w:id="59"/>
      <w:bookmarkEnd w:id="60"/>
    </w:p>
    <w:p>
      <w:pPr>
        <w:pStyle w:val="107"/>
        <w:spacing w:before="156" w:after="156"/>
      </w:pPr>
      <w:bookmarkStart w:id="61" w:name="_Toc127286538"/>
      <w:r>
        <w:rPr>
          <w:rFonts w:hint="eastAsia"/>
        </w:rPr>
        <w:t>发生期预测</w:t>
      </w:r>
      <w:bookmarkEnd w:id="61"/>
    </w:p>
    <w:p>
      <w:pPr>
        <w:pStyle w:val="58"/>
        <w:ind w:firstLine="420"/>
        <w:rPr>
          <w:rFonts w:ascii="Times New Roman"/>
          <w:szCs w:val="21"/>
        </w:rPr>
      </w:pPr>
      <w:r>
        <w:rPr>
          <w:rFonts w:ascii="Times New Roman"/>
          <w:szCs w:val="21"/>
        </w:rPr>
        <w:t>根据性诱监测结果，统计出番茄潜叶蛾成虫始盛期、高峰期、盛末期，</w:t>
      </w:r>
      <w:r>
        <w:rPr>
          <w:rFonts w:hint="eastAsia" w:ascii="Times New Roman"/>
          <w:szCs w:val="21"/>
        </w:rPr>
        <w:t>利用期距预测法，</w:t>
      </w:r>
      <w:r>
        <w:rPr>
          <w:rFonts w:ascii="Times New Roman"/>
          <w:szCs w:val="21"/>
        </w:rPr>
        <w:t>结合将要预报的下一代发生期间当地的气温预报，及该条件下各虫态发育历期（番茄潜叶蛾各虫态历期见附录</w:t>
      </w:r>
      <w:r>
        <w:rPr>
          <w:rFonts w:hint="eastAsia" w:ascii="Times New Roman"/>
          <w:szCs w:val="21"/>
        </w:rPr>
        <w:t>A</w:t>
      </w:r>
      <w:r>
        <w:rPr>
          <w:rFonts w:ascii="Times New Roman"/>
          <w:szCs w:val="21"/>
        </w:rPr>
        <w:t>），即可推测出下一代的发生期</w:t>
      </w:r>
      <w:r>
        <w:rPr>
          <w:rFonts w:hint="eastAsia" w:ascii="Times New Roman"/>
          <w:szCs w:val="21"/>
        </w:rPr>
        <w:t>。</w:t>
      </w:r>
    </w:p>
    <w:p>
      <w:pPr>
        <w:pStyle w:val="107"/>
        <w:spacing w:before="156" w:after="156"/>
      </w:pPr>
      <w:bookmarkStart w:id="62" w:name="_Toc127286539"/>
      <w:r>
        <w:rPr>
          <w:rFonts w:hint="eastAsia"/>
        </w:rPr>
        <w:t>发生程度预测</w:t>
      </w:r>
      <w:bookmarkEnd w:id="62"/>
      <w:bookmarkStart w:id="70" w:name="_GoBack"/>
      <w:bookmarkEnd w:id="70"/>
    </w:p>
    <w:p>
      <w:pPr>
        <w:pStyle w:val="58"/>
        <w:ind w:firstLine="420"/>
        <w:rPr>
          <w:rFonts w:hint="eastAsia" w:ascii="Times New Roman"/>
          <w:szCs w:val="21"/>
        </w:rPr>
      </w:pPr>
      <w:r>
        <w:rPr>
          <w:rFonts w:hint="eastAsia" w:ascii="Times New Roman"/>
          <w:szCs w:val="21"/>
        </w:rPr>
        <w:t>利用综合预测法，</w:t>
      </w:r>
      <w:r>
        <w:rPr>
          <w:rFonts w:ascii="Times New Roman"/>
          <w:szCs w:val="21"/>
        </w:rPr>
        <w:t>根据</w:t>
      </w:r>
      <w:r>
        <w:rPr>
          <w:rFonts w:hint="eastAsia" w:ascii="Times New Roman"/>
          <w:szCs w:val="21"/>
        </w:rPr>
        <w:t>成虫诱测结果</w:t>
      </w:r>
      <w:r>
        <w:rPr>
          <w:rFonts w:hint="eastAsia" w:ascii="Times New Roman"/>
          <w:szCs w:val="21"/>
          <w:lang w:eastAsia="zh-CN"/>
        </w:rPr>
        <w:t>、</w:t>
      </w:r>
      <w:r>
        <w:rPr>
          <w:rFonts w:hint="eastAsia" w:ascii="Times New Roman"/>
          <w:szCs w:val="21"/>
        </w:rPr>
        <w:t>卵、幼虫调查数量</w:t>
      </w:r>
      <w:r>
        <w:rPr>
          <w:rFonts w:ascii="Times New Roman"/>
          <w:szCs w:val="21"/>
        </w:rPr>
        <w:t>和</w:t>
      </w:r>
      <w:r>
        <w:rPr>
          <w:rFonts w:hint="eastAsia" w:ascii="Times New Roman"/>
          <w:szCs w:val="21"/>
        </w:rPr>
        <w:t>作物</w:t>
      </w:r>
      <w:r>
        <w:rPr>
          <w:rFonts w:ascii="Times New Roman"/>
          <w:szCs w:val="21"/>
        </w:rPr>
        <w:t>生长情况，结合气象资料</w:t>
      </w:r>
      <w:r>
        <w:rPr>
          <w:rFonts w:hint="eastAsia" w:ascii="Times New Roman"/>
          <w:szCs w:val="21"/>
          <w:lang w:eastAsia="zh-CN"/>
        </w:rPr>
        <w:t>和历年发生</w:t>
      </w:r>
      <w:r>
        <w:rPr>
          <w:rFonts w:ascii="Times New Roman"/>
          <w:szCs w:val="21"/>
        </w:rPr>
        <w:t>资料，参考发生程度分级指标进行综合分析</w:t>
      </w:r>
      <w:r>
        <w:rPr>
          <w:rFonts w:hint="eastAsia" w:ascii="Times New Roman"/>
          <w:szCs w:val="21"/>
        </w:rPr>
        <w:t>研判</w:t>
      </w:r>
      <w:r>
        <w:rPr>
          <w:rFonts w:ascii="Times New Roman"/>
          <w:szCs w:val="21"/>
        </w:rPr>
        <w:t>，作出</w:t>
      </w:r>
      <w:r>
        <w:rPr>
          <w:rFonts w:hint="eastAsia" w:ascii="Times New Roman"/>
          <w:szCs w:val="21"/>
        </w:rPr>
        <w:t>幼虫</w:t>
      </w:r>
      <w:r>
        <w:rPr>
          <w:rFonts w:ascii="Times New Roman"/>
          <w:szCs w:val="21"/>
        </w:rPr>
        <w:t>发生程度</w:t>
      </w:r>
      <w:r>
        <w:rPr>
          <w:rFonts w:hint="eastAsia" w:ascii="Times New Roman"/>
          <w:szCs w:val="21"/>
        </w:rPr>
        <w:t>、区域、面积的</w:t>
      </w:r>
      <w:r>
        <w:rPr>
          <w:rFonts w:ascii="Times New Roman"/>
          <w:szCs w:val="21"/>
        </w:rPr>
        <w:t>预测</w:t>
      </w:r>
      <w:r>
        <w:rPr>
          <w:rFonts w:hint="eastAsia" w:ascii="Times New Roman"/>
          <w:szCs w:val="21"/>
        </w:rPr>
        <w:t>。</w:t>
      </w:r>
    </w:p>
    <w:p>
      <w:pPr>
        <w:pStyle w:val="107"/>
        <w:spacing w:before="156" w:after="156"/>
      </w:pPr>
      <w:r>
        <w:rPr>
          <w:rFonts w:hint="eastAsia"/>
          <w:lang w:eastAsia="zh-CN"/>
        </w:rPr>
        <w:t>预报发布</w:t>
      </w:r>
    </w:p>
    <w:p>
      <w:pPr>
        <w:pStyle w:val="58"/>
        <w:rPr>
          <w:rFonts w:hint="eastAsia"/>
          <w:lang w:eastAsia="zh-CN"/>
        </w:rPr>
      </w:pPr>
      <w:r>
        <w:rPr>
          <w:rFonts w:hint="eastAsia"/>
          <w:lang w:eastAsia="zh-CN"/>
        </w:rPr>
        <w:t>各级植保机构应根据监测结果科学分析研判发生趋势，按《农作物病虫害监测与预报管理办法》及时发布预测预报。</w:t>
      </w:r>
    </w:p>
    <w:p>
      <w:pPr>
        <w:pStyle w:val="106"/>
        <w:spacing w:before="312" w:after="312"/>
      </w:pPr>
      <w:bookmarkStart w:id="63" w:name="_Toc827574547"/>
      <w:r>
        <w:rPr>
          <w:rFonts w:hint="eastAsia"/>
          <w:lang w:eastAsia="zh-CN"/>
        </w:rPr>
        <w:t>资料存档</w:t>
      </w:r>
      <w:bookmarkEnd w:id="63"/>
    </w:p>
    <w:p>
      <w:pPr>
        <w:pStyle w:val="58"/>
      </w:pPr>
      <w:r>
        <w:rPr>
          <w:rFonts w:hint="eastAsia"/>
          <w:lang w:eastAsia="zh-CN"/>
        </w:rPr>
        <w:t>调查结果和预测预报等相关资料及时存档并妥善保存，以备查阅</w:t>
      </w:r>
      <w:r>
        <w:rPr>
          <w:rFonts w:hint="default"/>
          <w:lang w:val="en" w:eastAsia="zh-CN"/>
        </w:rPr>
        <w:t>,</w:t>
      </w:r>
      <w:r>
        <w:rPr>
          <w:rFonts w:hint="eastAsia"/>
          <w:lang w:val="en" w:eastAsia="zh-CN"/>
        </w:rPr>
        <w:t>保存时间</w:t>
      </w:r>
      <w:r>
        <w:rPr>
          <w:rFonts w:hint="eastAsia"/>
          <w:lang w:val="en-US" w:eastAsia="zh-CN"/>
        </w:rPr>
        <w:t>10年以上</w:t>
      </w:r>
      <w:r>
        <w:rPr>
          <w:rFonts w:hint="eastAsia"/>
          <w:lang w:eastAsia="zh-CN"/>
        </w:rPr>
        <w:t>。</w:t>
      </w:r>
    </w:p>
    <w:p>
      <w:pPr>
        <w:pStyle w:val="58"/>
        <w:rPr>
          <w:rFonts w:hint="eastAsia"/>
          <w:lang w:eastAsia="zh-CN"/>
        </w:rPr>
      </w:pPr>
    </w:p>
    <w:p>
      <w:pPr>
        <w:pStyle w:val="58"/>
        <w:ind w:firstLine="420"/>
        <w:rPr>
          <w:rFonts w:hint="eastAsia" w:ascii="Times New Roman"/>
          <w:szCs w:val="21"/>
        </w:rPr>
      </w:pPr>
    </w:p>
    <w:p>
      <w:pPr>
        <w:pStyle w:val="58"/>
        <w:ind w:firstLine="420"/>
      </w:pPr>
    </w:p>
    <w:p>
      <w:pPr>
        <w:pStyle w:val="58"/>
        <w:ind w:firstLine="420"/>
        <w:sectPr>
          <w:pgSz w:w="11906" w:h="16838"/>
          <w:pgMar w:top="567" w:right="1134" w:bottom="1134" w:left="1134" w:header="1418" w:footer="1134" w:gutter="284"/>
          <w:pgNumType w:start="1"/>
          <w:cols w:space="425" w:num="1"/>
          <w:formProt w:val="0"/>
          <w:docGrid w:type="lines" w:linePitch="312" w:charSpace="0"/>
        </w:sectPr>
      </w:pPr>
    </w:p>
    <w:bookmarkEnd w:id="25"/>
    <w:p>
      <w:pPr>
        <w:pStyle w:val="200"/>
        <w:rPr>
          <w:vanish w:val="0"/>
        </w:rPr>
      </w:pPr>
      <w:bookmarkStart w:id="64" w:name="BookMark5"/>
    </w:p>
    <w:p>
      <w:pPr>
        <w:pStyle w:val="201"/>
        <w:rPr>
          <w:vanish w:val="0"/>
        </w:rPr>
      </w:pPr>
    </w:p>
    <w:p>
      <w:pPr>
        <w:pStyle w:val="78"/>
        <w:spacing w:before="78" w:after="156"/>
      </w:pPr>
      <w:bookmarkStart w:id="65" w:name="_Toc1628605549"/>
      <w:r>
        <w:br w:type="textWrapping"/>
      </w:r>
      <w:bookmarkStart w:id="66" w:name="_Toc127286540"/>
      <w:r>
        <w:rPr>
          <w:rFonts w:hint="eastAsia"/>
        </w:rPr>
        <w:t>（资料性）</w:t>
      </w:r>
      <w:r>
        <w:br w:type="textWrapping"/>
      </w:r>
      <w:r>
        <w:rPr>
          <w:rFonts w:hint="eastAsia"/>
        </w:rPr>
        <w:t>番茄潜叶蛾种类描述及识别</w:t>
      </w:r>
      <w:bookmarkEnd w:id="65"/>
      <w:bookmarkEnd w:id="66"/>
    </w:p>
    <w:p>
      <w:pPr>
        <w:pStyle w:val="80"/>
        <w:spacing w:before="156" w:after="156"/>
      </w:pPr>
      <w:bookmarkStart w:id="67" w:name="_Toc127286541"/>
      <w:r>
        <w:rPr>
          <w:rFonts w:hint="eastAsia"/>
        </w:rPr>
        <w:t>种类描述</w:t>
      </w:r>
      <w:bookmarkEnd w:id="67"/>
    </w:p>
    <w:p>
      <w:pPr>
        <w:pStyle w:val="58"/>
        <w:ind w:firstLine="420"/>
        <w:rPr>
          <w:rFonts w:ascii="Times New Roman"/>
          <w:kern w:val="2"/>
          <w:szCs w:val="24"/>
        </w:rPr>
      </w:pPr>
      <w:r>
        <w:rPr>
          <w:rFonts w:ascii="Times New Roman"/>
          <w:color w:val="231F20"/>
          <w:szCs w:val="21"/>
          <w:lang w:bidi="ar"/>
        </w:rPr>
        <w:t>番茄潜叶蛾 ［</w:t>
      </w:r>
      <w:r>
        <w:rPr>
          <w:rFonts w:ascii="Times New Roman"/>
          <w:i/>
          <w:iCs/>
          <w:color w:val="231F20"/>
          <w:szCs w:val="21"/>
          <w:lang w:bidi="ar"/>
        </w:rPr>
        <w:t>Phthorimaea absoluta</w:t>
      </w:r>
      <w:r>
        <w:rPr>
          <w:rFonts w:ascii="Times New Roman"/>
          <w:color w:val="231F20"/>
          <w:szCs w:val="21"/>
          <w:lang w:bidi="ar"/>
        </w:rPr>
        <w:t xml:space="preserve"> （Meyrick）］，又称番茄潜麦蛾、番茄麦蛾，隶属鳞翅目麦蛾科，主要为害番茄，可在茄科、十字花科等 </w:t>
      </w:r>
      <w:r>
        <w:rPr>
          <w:rFonts w:hint="eastAsia" w:ascii="Times New Roman"/>
          <w:color w:val="231F20"/>
          <w:szCs w:val="21"/>
          <w:lang w:val="en-US" w:eastAsia="zh-CN" w:bidi="ar"/>
        </w:rPr>
        <w:t>11</w:t>
      </w:r>
      <w:r>
        <w:rPr>
          <w:rFonts w:ascii="Times New Roman"/>
          <w:color w:val="231F20"/>
          <w:szCs w:val="21"/>
          <w:lang w:bidi="ar"/>
        </w:rPr>
        <w:t xml:space="preserve"> 科 </w:t>
      </w:r>
      <w:r>
        <w:rPr>
          <w:rFonts w:hint="eastAsia" w:ascii="Times New Roman"/>
          <w:color w:val="231F20"/>
          <w:szCs w:val="21"/>
          <w:lang w:val="en-US" w:eastAsia="zh-CN" w:bidi="ar"/>
        </w:rPr>
        <w:t>50</w:t>
      </w:r>
      <w:r>
        <w:rPr>
          <w:rFonts w:ascii="Times New Roman"/>
          <w:color w:val="231F20"/>
          <w:szCs w:val="21"/>
          <w:lang w:bidi="ar"/>
        </w:rPr>
        <w:t xml:space="preserve"> 种植物上为害，具有繁殖力强、适生性广、抗逆性高、危害损失重等特点。</w:t>
      </w:r>
      <w:r>
        <w:rPr>
          <w:rFonts w:ascii="Times New Roman"/>
          <w:kern w:val="2"/>
          <w:szCs w:val="24"/>
        </w:rPr>
        <w:t>主要以幼虫进行为害，既可潜食叶肉，也可蛀食果实，还能为害顶芽及嫩梢嫩茎。幼虫一经孵化即潜入叶片组织中取食叶肉，初期形成细小的潜道，之后随着幼虫的生长，食量增加，潜道变宽变大，形成不规则的半透明斑，进而导致被害叶片皱缩、干枯；3~4龄幼虫具有转移叶片或转株为害的习性；同时，在潜道一端时常能见到幼虫排泄的黑色粪便。此外，幼虫还可蛀食果实，形成孔洞、导致果实畸形，或招致病菌寄生、引发果实腐烂；并且，尤其喜欢在果萼与幼果相接处潜食，导致果实脱落</w:t>
      </w:r>
      <w:r>
        <w:rPr>
          <w:rFonts w:hint="eastAsia" w:ascii="Times New Roman"/>
          <w:kern w:val="2"/>
          <w:szCs w:val="24"/>
        </w:rPr>
        <w:t>。</w:t>
      </w:r>
    </w:p>
    <w:p>
      <w:pPr>
        <w:pStyle w:val="80"/>
        <w:spacing w:before="156" w:after="156"/>
      </w:pPr>
      <w:bookmarkStart w:id="68" w:name="_Toc127286542"/>
      <w:r>
        <w:rPr>
          <w:rFonts w:hint="eastAsia"/>
        </w:rPr>
        <w:t>形态特征</w:t>
      </w:r>
      <w:bookmarkEnd w:id="68"/>
    </w:p>
    <w:p>
      <w:pPr>
        <w:pStyle w:val="81"/>
        <w:spacing w:before="156" w:after="156"/>
      </w:pPr>
      <w:r>
        <w:rPr>
          <w:rFonts w:hint="eastAsia"/>
        </w:rPr>
        <w:t>成虫</w:t>
      </w:r>
    </w:p>
    <w:p>
      <w:pPr>
        <w:pStyle w:val="58"/>
        <w:ind w:firstLine="420"/>
        <w:rPr>
          <w:rFonts w:ascii="Times New Roman"/>
          <w:color w:val="231F20"/>
          <w:szCs w:val="21"/>
          <w:lang w:bidi="ar"/>
        </w:rPr>
      </w:pPr>
      <w:r>
        <w:rPr>
          <w:rFonts w:ascii="Times New Roman"/>
          <w:color w:val="231F20"/>
          <w:szCs w:val="21"/>
          <w:lang w:bidi="ar"/>
        </w:rPr>
        <w:t>成虫体长 6 mm～7 mm， 翅展 8 mm～10 mm，体色为灰褐色或浅灰色，鳞片银灰色，前翅具黑色斑点；触角呈丝状，下颚须向上弯曲，触角、下颚须和足具灰白色与褐色相间的横纹。腹部纺锤形，雌虫较雄虫更为明显，腹面具“八”字形黑色斑纹，腹部末端具马蹄形短毛丛。雌虫的“八”字形黑色斑纹在第 1～6 节腹节，前翅具 1 对心形纹，斑纹中央深褐色，边缘浅褐色。雄虫的“八”字形黑色斑纹在第 1～8 节，前翅端部有一倒 V 字形纹，斑纹中央深褐色，边缘浅褐色；雌成虫的体型较雄成虫大 （雌虫体长较雄虫长 0.2 mm，翅展较雄虫大 0.3 mm），体色较雄成虫暗淡</w:t>
      </w:r>
      <w:r>
        <w:rPr>
          <w:rFonts w:hint="eastAsia" w:ascii="Times New Roman"/>
          <w:color w:val="231F20"/>
          <w:szCs w:val="21"/>
          <w:lang w:bidi="ar"/>
        </w:rPr>
        <w:t>。</w:t>
      </w:r>
    </w:p>
    <w:p>
      <w:pPr>
        <w:pStyle w:val="81"/>
        <w:spacing w:before="156" w:after="156"/>
      </w:pPr>
      <w:r>
        <w:rPr>
          <w:rFonts w:hint="eastAsia"/>
        </w:rPr>
        <w:t>卵</w:t>
      </w:r>
    </w:p>
    <w:p>
      <w:pPr>
        <w:pStyle w:val="58"/>
        <w:ind w:firstLine="420"/>
        <w:rPr>
          <w:rFonts w:ascii="Times New Roman"/>
          <w:color w:val="231F20"/>
          <w:szCs w:val="21"/>
          <w:lang w:bidi="ar"/>
        </w:rPr>
      </w:pPr>
      <w:r>
        <w:rPr>
          <w:rFonts w:ascii="Times New Roman"/>
          <w:color w:val="231F20"/>
          <w:szCs w:val="21"/>
          <w:lang w:bidi="ar"/>
        </w:rPr>
        <w:t>长 0.2 mm～0.4 mm，圆筒状，初产时为乳白色，近孵化时为橘黄色，一般产于叶片的正面或背面，大多数单产，少数 2～3 粒聚产</w:t>
      </w:r>
      <w:r>
        <w:rPr>
          <w:rFonts w:hint="eastAsia" w:ascii="Times New Roman"/>
          <w:color w:val="231F20"/>
          <w:szCs w:val="21"/>
          <w:lang w:bidi="ar"/>
        </w:rPr>
        <w:t>。</w:t>
      </w:r>
    </w:p>
    <w:p>
      <w:pPr>
        <w:pStyle w:val="81"/>
        <w:spacing w:before="156" w:after="156"/>
      </w:pPr>
      <w:r>
        <w:rPr>
          <w:rFonts w:hint="eastAsia"/>
        </w:rPr>
        <w:t>幼虫</w:t>
      </w:r>
    </w:p>
    <w:p>
      <w:pPr>
        <w:pStyle w:val="58"/>
        <w:ind w:firstLine="420"/>
        <w:rPr>
          <w:rFonts w:ascii="Times New Roman"/>
          <w:color w:val="231F20"/>
          <w:szCs w:val="21"/>
          <w:lang w:bidi="ar"/>
        </w:rPr>
      </w:pPr>
      <w:r>
        <w:rPr>
          <w:rFonts w:ascii="Times New Roman"/>
          <w:color w:val="231F20"/>
          <w:szCs w:val="21"/>
          <w:lang w:bidi="ar"/>
        </w:rPr>
        <w:t>番茄潜叶蛾各龄幼虫特征见表A.1</w:t>
      </w:r>
      <w:r>
        <w:rPr>
          <w:rFonts w:hint="eastAsia" w:ascii="Times New Roman"/>
          <w:color w:val="231F20"/>
          <w:szCs w:val="21"/>
          <w:lang w:bidi="ar"/>
        </w:rPr>
        <w:t>。</w:t>
      </w:r>
    </w:p>
    <w:p>
      <w:pPr>
        <w:pStyle w:val="79"/>
        <w:spacing w:before="156" w:after="156"/>
        <w:rPr>
          <w:rFonts w:ascii="Times New Roman"/>
          <w:color w:val="231F20"/>
          <w:kern w:val="0"/>
          <w:szCs w:val="21"/>
          <w:lang w:bidi="ar"/>
        </w:rPr>
      </w:pPr>
      <w:r>
        <w:rPr>
          <w:rFonts w:ascii="Times New Roman"/>
          <w:color w:val="231F20"/>
          <w:kern w:val="0"/>
          <w:szCs w:val="21"/>
          <w:lang w:bidi="ar"/>
        </w:rPr>
        <w:t>番茄潜叶蛾各龄幼虫特征</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63"/>
        <w:gridCol w:w="1763"/>
        <w:gridCol w:w="1762"/>
        <w:gridCol w:w="1762"/>
        <w:gridCol w:w="17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tblHeader/>
          <w:jc w:val="center"/>
        </w:trPr>
        <w:tc>
          <w:tcPr>
            <w:tcW w:w="1763" w:type="dxa"/>
            <w:tcBorders>
              <w:top w:val="single" w:color="auto" w:sz="8" w:space="0"/>
              <w:bottom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项目</w:t>
            </w:r>
          </w:p>
        </w:tc>
        <w:tc>
          <w:tcPr>
            <w:tcW w:w="1763" w:type="dxa"/>
            <w:tcBorders>
              <w:top w:val="single" w:color="auto" w:sz="8" w:space="0"/>
              <w:bottom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1龄</w:t>
            </w:r>
          </w:p>
        </w:tc>
        <w:tc>
          <w:tcPr>
            <w:tcW w:w="1762" w:type="dxa"/>
            <w:tcBorders>
              <w:top w:val="single" w:color="auto" w:sz="8" w:space="0"/>
              <w:bottom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2龄</w:t>
            </w:r>
          </w:p>
        </w:tc>
        <w:tc>
          <w:tcPr>
            <w:tcW w:w="1762" w:type="dxa"/>
            <w:tcBorders>
              <w:top w:val="single" w:color="auto" w:sz="8" w:space="0"/>
              <w:bottom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3龄</w:t>
            </w:r>
          </w:p>
        </w:tc>
        <w:tc>
          <w:tcPr>
            <w:tcW w:w="1763" w:type="dxa"/>
            <w:tcBorders>
              <w:top w:val="single" w:color="auto" w:sz="8" w:space="0"/>
              <w:bottom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4龄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1763"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体色</w:t>
            </w:r>
          </w:p>
        </w:tc>
        <w:tc>
          <w:tcPr>
            <w:tcW w:w="1763"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乳白色或黄白色</w:t>
            </w:r>
          </w:p>
        </w:tc>
        <w:tc>
          <w:tcPr>
            <w:tcW w:w="1762"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淡绿色或淡黄白色</w:t>
            </w:r>
          </w:p>
        </w:tc>
        <w:tc>
          <w:tcPr>
            <w:tcW w:w="1762"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绿色</w:t>
            </w:r>
          </w:p>
        </w:tc>
        <w:tc>
          <w:tcPr>
            <w:tcW w:w="1763" w:type="dxa"/>
            <w:tcBorders>
              <w:top w:val="single" w:color="auto" w:sz="8" w:space="0"/>
            </w:tcBorders>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绿色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体长（mm）</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0.8～1.5</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0.9～3.3</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2.4～4.9</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4.2～7.4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头部颜色</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黑褐色</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棕黄色</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棕黄色</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棕黄色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前胸背板颜色</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棕黄色</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棕黄色</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棕黄色</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棕黄色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后缘</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有棕褐色锚形状斑纹</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具有黑色眉形斑纹</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具有黑色眉形斑纹</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具有棕褐色斑纹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2" w:hRule="atLeast"/>
          <w:jc w:val="center"/>
        </w:trPr>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腹部颜色</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奶黄白色</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淡黄白色</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绿色</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腹面绿色，背面</w:t>
            </w:r>
          </w:p>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淡粉红色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背、腹线特征</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均不明显</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均不明显</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明显</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明显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体节间缢缩</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不明显</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明显</w:t>
            </w:r>
          </w:p>
        </w:tc>
        <w:tc>
          <w:tcPr>
            <w:tcW w:w="1762"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明显</w:t>
            </w:r>
          </w:p>
        </w:tc>
        <w:tc>
          <w:tcPr>
            <w:tcW w:w="1763" w:type="dxa"/>
            <w:shd w:val="clear" w:color="auto" w:fill="auto"/>
            <w:vAlign w:val="center"/>
          </w:tcPr>
          <w:p>
            <w:pPr>
              <w:tabs>
                <w:tab w:val="left" w:pos="654"/>
              </w:tabs>
              <w:adjustRightInd/>
              <w:spacing w:line="240" w:lineRule="auto"/>
              <w:jc w:val="center"/>
              <w:rPr>
                <w:rFonts w:ascii="Times New Roman" w:hAnsi="Times New Roman"/>
                <w:color w:val="231F20"/>
                <w:kern w:val="0"/>
                <w:sz w:val="18"/>
                <w:szCs w:val="18"/>
                <w:lang w:bidi="ar"/>
              </w:rPr>
            </w:pPr>
            <w:r>
              <w:rPr>
                <w:rFonts w:ascii="Times New Roman" w:hAnsi="Times New Roman"/>
                <w:color w:val="231F20"/>
                <w:kern w:val="0"/>
                <w:sz w:val="18"/>
                <w:szCs w:val="18"/>
                <w:lang w:bidi="ar"/>
              </w:rPr>
              <w:t>明显</w:t>
            </w:r>
          </w:p>
        </w:tc>
      </w:tr>
    </w:tbl>
    <w:p>
      <w:pPr>
        <w:pStyle w:val="81"/>
        <w:spacing w:before="156" w:after="156"/>
        <w:rPr>
          <w:lang w:bidi="ar"/>
        </w:rPr>
      </w:pPr>
      <w:r>
        <w:rPr>
          <w:rFonts w:hint="eastAsia"/>
          <w:lang w:bidi="ar"/>
        </w:rPr>
        <w:t>蛹</w:t>
      </w:r>
    </w:p>
    <w:p>
      <w:pPr>
        <w:pStyle w:val="58"/>
        <w:ind w:firstLine="420"/>
        <w:rPr>
          <w:rFonts w:ascii="Times New Roman"/>
          <w:color w:val="231F20"/>
          <w:szCs w:val="21"/>
          <w:lang w:bidi="ar"/>
        </w:rPr>
      </w:pPr>
      <w:r>
        <w:rPr>
          <w:rFonts w:ascii="Times New Roman"/>
          <w:color w:val="231F20"/>
          <w:szCs w:val="21"/>
          <w:lang w:bidi="ar"/>
        </w:rPr>
        <w:t>被蛹，圆筒状，蛹长 5 mm～6 mm。 腹部10 节，肛门开口位于第 10 节。 随着生长发育，蛹颜色逐渐加深，初期为翠绿色，复眼未显；中期为棕绿色，复眼棕红色；后期为棕色，复眼黑褐色，近羽化时蛹为灰色。雌蛹在第 8 腹节处具 2 个小结节，雌性生殖器开口位于结节间纵向缝合线或夹缝处， 雌蛹的翅芽延伸到第 5 腹节。雄蛹在第 9 腹节上具 2 个小结节，雄性生殖器开口位于结节间纵向缝合线或夹缝处，雄蛹的翅芽延伸到第 6 腹节。 雄蛹比雌蛹个体小且重量轻，历期比雌蛹长</w:t>
      </w:r>
      <w:r>
        <w:rPr>
          <w:rFonts w:hint="eastAsia" w:ascii="Times New Roman"/>
          <w:color w:val="231F20"/>
          <w:szCs w:val="21"/>
          <w:lang w:bidi="ar"/>
        </w:rPr>
        <w:t>。</w:t>
      </w:r>
    </w:p>
    <w:p>
      <w:pPr>
        <w:pStyle w:val="80"/>
        <w:spacing w:before="156" w:after="156"/>
        <w:rPr>
          <w:lang w:bidi="ar"/>
        </w:rPr>
      </w:pPr>
      <w:bookmarkStart w:id="69" w:name="_Toc127286543"/>
      <w:r>
        <w:rPr>
          <w:rFonts w:hint="eastAsia"/>
          <w:lang w:bidi="ar"/>
        </w:rPr>
        <w:t>发育历期</w:t>
      </w:r>
      <w:bookmarkEnd w:id="69"/>
    </w:p>
    <w:p>
      <w:pPr>
        <w:pStyle w:val="58"/>
        <w:ind w:firstLine="420"/>
        <w:rPr>
          <w:rFonts w:ascii="Times New Roman"/>
          <w:szCs w:val="21"/>
        </w:rPr>
      </w:pPr>
      <w:r>
        <w:rPr>
          <w:rFonts w:ascii="Times New Roman"/>
          <w:szCs w:val="21"/>
        </w:rPr>
        <w:t>不同温度下番茄潜叶蛾各虫态历期发育时间见表A.2</w:t>
      </w:r>
      <w:r>
        <w:rPr>
          <w:rFonts w:hint="eastAsia" w:ascii="Times New Roman"/>
          <w:szCs w:val="21"/>
        </w:rPr>
        <w:t>。</w:t>
      </w:r>
    </w:p>
    <w:p>
      <w:pPr>
        <w:pStyle w:val="79"/>
        <w:spacing w:before="156" w:after="156"/>
        <w:rPr>
          <w:rFonts w:ascii="Times New Roman"/>
          <w:szCs w:val="21"/>
        </w:rPr>
      </w:pPr>
      <w:r>
        <w:rPr>
          <w:rFonts w:ascii="Times New Roman"/>
          <w:szCs w:val="21"/>
        </w:rPr>
        <w:t>不同温度下番茄潜叶蛾各虫态历期发育</w:t>
      </w:r>
      <w:r>
        <w:rPr>
          <w:rFonts w:hint="eastAsia" w:ascii="Times New Roman"/>
          <w:szCs w:val="21"/>
        </w:rPr>
        <w:t>时间</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温度（℃）</w:t>
            </w:r>
          </w:p>
        </w:tc>
        <w:tc>
          <w:tcPr>
            <w:tcW w:w="1867" w:type="dxa"/>
            <w:tcBorders>
              <w:top w:val="single" w:color="auto" w:sz="8" w:space="0"/>
              <w:bottom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卵期（天）</w:t>
            </w:r>
          </w:p>
        </w:tc>
        <w:tc>
          <w:tcPr>
            <w:tcW w:w="1867" w:type="dxa"/>
            <w:tcBorders>
              <w:top w:val="single" w:color="auto" w:sz="8" w:space="0"/>
              <w:bottom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幼虫期（天）</w:t>
            </w:r>
          </w:p>
        </w:tc>
        <w:tc>
          <w:tcPr>
            <w:tcW w:w="1867" w:type="dxa"/>
            <w:tcBorders>
              <w:top w:val="single" w:color="auto" w:sz="8" w:space="0"/>
              <w:bottom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蛹期（天）</w:t>
            </w:r>
          </w:p>
        </w:tc>
        <w:tc>
          <w:tcPr>
            <w:tcW w:w="1867" w:type="dxa"/>
            <w:tcBorders>
              <w:top w:val="single" w:color="auto" w:sz="8" w:space="0"/>
              <w:bottom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成虫前期（天）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15</w:t>
            </w:r>
          </w:p>
        </w:tc>
        <w:tc>
          <w:tcPr>
            <w:tcW w:w="1867" w:type="dxa"/>
            <w:tcBorders>
              <w:top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12.03</w:t>
            </w:r>
          </w:p>
        </w:tc>
        <w:tc>
          <w:tcPr>
            <w:tcW w:w="1867" w:type="dxa"/>
            <w:tcBorders>
              <w:top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26.46</w:t>
            </w:r>
          </w:p>
        </w:tc>
        <w:tc>
          <w:tcPr>
            <w:tcW w:w="1867" w:type="dxa"/>
            <w:tcBorders>
              <w:top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21.19</w:t>
            </w:r>
          </w:p>
        </w:tc>
        <w:tc>
          <w:tcPr>
            <w:tcW w:w="1867" w:type="dxa"/>
            <w:tcBorders>
              <w:top w:val="single" w:color="auto" w:sz="8" w:space="0"/>
            </w:tcBorders>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59.68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20</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6.32</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14.57</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10.37</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31.26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66"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25</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4.65</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11.07</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6.86</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22.58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30</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3.63</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9.79</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6.3</w:t>
            </w:r>
          </w:p>
        </w:tc>
        <w:tc>
          <w:tcPr>
            <w:tcW w:w="1867" w:type="dxa"/>
            <w:shd w:val="clear" w:color="auto" w:fill="auto"/>
            <w:vAlign w:val="center"/>
          </w:tcPr>
          <w:p>
            <w:pPr>
              <w:tabs>
                <w:tab w:val="left" w:pos="654"/>
              </w:tabs>
              <w:adjustRightInd/>
              <w:spacing w:line="300" w:lineRule="exact"/>
              <w:jc w:val="center"/>
              <w:rPr>
                <w:rFonts w:ascii="Times New Roman" w:hAnsi="Times New Roman"/>
                <w:sz w:val="18"/>
                <w:szCs w:val="18"/>
              </w:rPr>
            </w:pPr>
            <w:r>
              <w:rPr>
                <w:rFonts w:ascii="Times New Roman" w:hAnsi="Times New Roman"/>
                <w:sz w:val="18"/>
                <w:szCs w:val="18"/>
              </w:rPr>
              <w:t>19.72</w:t>
            </w:r>
          </w:p>
        </w:tc>
      </w:tr>
    </w:tbl>
    <w:p>
      <w:pPr>
        <w:pStyle w:val="58"/>
        <w:ind w:firstLine="420"/>
      </w:pPr>
    </w:p>
    <w:p>
      <w:pPr>
        <w:pStyle w:val="58"/>
        <w:ind w:firstLine="420"/>
      </w:pPr>
    </w:p>
    <w:p>
      <w:pPr>
        <w:pStyle w:val="58"/>
        <w:ind w:firstLine="420"/>
      </w:pPr>
    </w:p>
    <w:p>
      <w:pPr>
        <w:pStyle w:val="58"/>
        <w:ind w:firstLine="420"/>
        <w:jc w:val="center"/>
        <w:rPr>
          <w:lang w:bidi="ar"/>
        </w:rPr>
      </w:pPr>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p>
    <w:bookmarkEnd w:id="64"/>
    <w:p>
      <w:pPr>
        <w:pStyle w:val="58"/>
        <w:ind w:left="0" w:leftChars="0" w:firstLine="0" w:firstLineChars="0"/>
      </w:pP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文泉驿微米黑">
    <w:panose1 w:val="020B0606030804020204"/>
    <w:charset w:val="86"/>
    <w:family w:val="auto"/>
    <w:pitch w:val="default"/>
    <w:sig w:usb0="E10002EF" w:usb1="6BDFFCFB" w:usb2="00800036" w:usb3="00000000" w:csb0="603E019F" w:csb1="DFD70000"/>
  </w:font>
  <w:font w:name="文泉驿正黑">
    <w:panose1 w:val="02000603000000000000"/>
    <w:charset w:val="86"/>
    <w:family w:val="auto"/>
    <w:pitch w:val="default"/>
    <w:sig w:usb0="900002BF" w:usb1="2BDF7DFB" w:usb2="00000036" w:usb3="00000000" w:csb0="603E000D" w:csb1="D2D70000"/>
  </w:font>
  <w:font w:name="方正宋体S-超大字符集">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dit="forms" w:enforcement="1" w:cryptProviderType="rsaAES" w:cryptAlgorithmClass="hash" w:cryptAlgorithmType="typeAny" w:cryptAlgorithmSid="14" w:cryptSpinCount="100000" w:hash="VYZ3yPj3SimL33qCZcVUIaJkmo+CeyHSRWcfZoN9zzBAOl8DE3eDq+d1wVaVA2oOZqnTXejyEcjf5xAgngoNtQ==" w:salt="ZQciqFGhgz2n4wdOKyYcAQ=="/>
  <w:defaultTabStop w:val="420"/>
  <w:drawingGridHorizontalSpacing w:val="105"/>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2C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580"/>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6D5"/>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20A"/>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01A"/>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2C0"/>
    <w:rsid w:val="002E6326"/>
    <w:rsid w:val="002F30E0"/>
    <w:rsid w:val="002F35E4"/>
    <w:rsid w:val="002F3730"/>
    <w:rsid w:val="002F38E1"/>
    <w:rsid w:val="002F7AF6"/>
    <w:rsid w:val="00300E63"/>
    <w:rsid w:val="00302F5F"/>
    <w:rsid w:val="0030441D"/>
    <w:rsid w:val="00306063"/>
    <w:rsid w:val="00313B85"/>
    <w:rsid w:val="0031754F"/>
    <w:rsid w:val="00317988"/>
    <w:rsid w:val="003221B4"/>
    <w:rsid w:val="0032258D"/>
    <w:rsid w:val="00322E62"/>
    <w:rsid w:val="00324D13"/>
    <w:rsid w:val="00324D2A"/>
    <w:rsid w:val="00324EDD"/>
    <w:rsid w:val="003264A7"/>
    <w:rsid w:val="003331E4"/>
    <w:rsid w:val="00334491"/>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DC2"/>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A21"/>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76B"/>
    <w:rsid w:val="004C1FBC"/>
    <w:rsid w:val="004C3F1D"/>
    <w:rsid w:val="004C458D"/>
    <w:rsid w:val="004C7556"/>
    <w:rsid w:val="004C7E8B"/>
    <w:rsid w:val="004C7E9D"/>
    <w:rsid w:val="004C7F67"/>
    <w:rsid w:val="004D076D"/>
    <w:rsid w:val="004D0EF1"/>
    <w:rsid w:val="004D1506"/>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A3F"/>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BA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3D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09D"/>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88C"/>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38F"/>
    <w:rsid w:val="008B4AC4"/>
    <w:rsid w:val="008B50C8"/>
    <w:rsid w:val="008B5281"/>
    <w:rsid w:val="008B7E05"/>
    <w:rsid w:val="008C1797"/>
    <w:rsid w:val="008C219C"/>
    <w:rsid w:val="008C475E"/>
    <w:rsid w:val="008C619A"/>
    <w:rsid w:val="008C6A4B"/>
    <w:rsid w:val="008D0CE8"/>
    <w:rsid w:val="008D2D1D"/>
    <w:rsid w:val="008D453D"/>
    <w:rsid w:val="008D53AD"/>
    <w:rsid w:val="008D562B"/>
    <w:rsid w:val="008D5733"/>
    <w:rsid w:val="008D622B"/>
    <w:rsid w:val="008D666C"/>
    <w:rsid w:val="008D723F"/>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4B6"/>
    <w:rsid w:val="009429D5"/>
    <w:rsid w:val="00942BF1"/>
    <w:rsid w:val="00945180"/>
    <w:rsid w:val="00945428"/>
    <w:rsid w:val="0094607B"/>
    <w:rsid w:val="00953604"/>
    <w:rsid w:val="0095496B"/>
    <w:rsid w:val="00960A8F"/>
    <w:rsid w:val="009610DC"/>
    <w:rsid w:val="00961490"/>
    <w:rsid w:val="0096381A"/>
    <w:rsid w:val="00965E04"/>
    <w:rsid w:val="009674AD"/>
    <w:rsid w:val="00970CDC"/>
    <w:rsid w:val="00977010"/>
    <w:rsid w:val="00977D02"/>
    <w:rsid w:val="009809BB"/>
    <w:rsid w:val="0098364B"/>
    <w:rsid w:val="00984D92"/>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177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115"/>
    <w:rsid w:val="00BF1703"/>
    <w:rsid w:val="00BF231C"/>
    <w:rsid w:val="00BF49D2"/>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3E1F"/>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1A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0E23"/>
    <w:rsid w:val="00D71F25"/>
    <w:rsid w:val="00D72A9C"/>
    <w:rsid w:val="00D77031"/>
    <w:rsid w:val="00D84941"/>
    <w:rsid w:val="00D84FA1"/>
    <w:rsid w:val="00D851F0"/>
    <w:rsid w:val="00D86DB7"/>
    <w:rsid w:val="00D879F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BB7"/>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1D2"/>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1AE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F5B7229"/>
    <w:rsid w:val="3FB78085"/>
    <w:rsid w:val="4BA9E914"/>
    <w:rsid w:val="4F2F6C1C"/>
    <w:rsid w:val="5C7F5519"/>
    <w:rsid w:val="75AFE2DC"/>
    <w:rsid w:val="75FF5F06"/>
    <w:rsid w:val="7B4F6D53"/>
    <w:rsid w:val="7FFED3A3"/>
    <w:rsid w:val="7FFF9808"/>
    <w:rsid w:val="CFB7D9F8"/>
    <w:rsid w:val="DFF3ABDB"/>
    <w:rsid w:val="EFC9FA9E"/>
    <w:rsid w:val="F6FFDE0C"/>
    <w:rsid w:val="F7CF3034"/>
    <w:rsid w:val="FEFA5389"/>
    <w:rsid w:val="FEFFCCE5"/>
    <w:rsid w:val="FFFFB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table of authorities"/>
    <w:basedOn w:val="1"/>
    <w:next w:val="1"/>
    <w:qFormat/>
    <w:uiPriority w:val="0"/>
    <w:pPr>
      <w:suppressAutoHyphens/>
      <w:adjustRightInd/>
      <w:spacing w:line="240" w:lineRule="auto"/>
      <w:ind w:left="420" w:leftChars="200"/>
      <w:jc w:val="center"/>
    </w:pPr>
    <w:rPr>
      <w:rFonts w:ascii="Times New Roman" w:hAnsi="Times New Roman" w:eastAsia="方正小标宋简体"/>
      <w:sz w:val="44"/>
      <w:szCs w:val="24"/>
    </w:rPr>
  </w:style>
  <w:style w:type="paragraph" w:styleId="13">
    <w:name w:val="Normal Indent"/>
    <w:basedOn w:val="1"/>
    <w:qFormat/>
    <w:uiPriority w:val="0"/>
    <w:pPr>
      <w:ind w:firstLine="420"/>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505B59D7BF04EE6BACE8A0D5F501B5D"/>
        <w:style w:val=""/>
        <w:category>
          <w:name w:val="常规"/>
          <w:gallery w:val="placeholder"/>
        </w:category>
        <w:types>
          <w:type w:val="bbPlcHdr"/>
        </w:types>
        <w:behaviors>
          <w:behavior w:val="content"/>
        </w:behaviors>
        <w:description w:val=""/>
        <w:guid w:val="{7FC0903E-F8DA-4DA6-83EF-4C160A44C715}"/>
      </w:docPartPr>
      <w:docPartBody>
        <w:p>
          <w:pPr>
            <w:pStyle w:val="5"/>
          </w:pPr>
          <w:r>
            <w:rPr>
              <w:rStyle w:val="4"/>
              <w:rFonts w:hint="eastAsia"/>
            </w:rPr>
            <w:t>单击或点击此处输入文字。</w:t>
          </w:r>
        </w:p>
      </w:docPartBody>
    </w:docPart>
    <w:docPart>
      <w:docPartPr>
        <w:name w:val="832FEE11F480463C8E68B4A2FAB2B555"/>
        <w:style w:val=""/>
        <w:category>
          <w:name w:val="常规"/>
          <w:gallery w:val="placeholder"/>
        </w:category>
        <w:types>
          <w:type w:val="bbPlcHdr"/>
        </w:types>
        <w:behaviors>
          <w:behavior w:val="content"/>
        </w:behaviors>
        <w:description w:val=""/>
        <w:guid w:val="{2CA4E7FF-25C8-42A0-8913-B5F95ACA576A}"/>
      </w:docPartPr>
      <w:docPartBody>
        <w:p>
          <w:pPr>
            <w:pStyle w:val="6"/>
          </w:pPr>
          <w:r>
            <w:rPr>
              <w:rStyle w:val="4"/>
              <w:rFonts w:hint="eastAsia"/>
            </w:rPr>
            <w:t>选择一项。</w:t>
          </w:r>
        </w:p>
      </w:docPartBody>
    </w:docPart>
    <w:docPart>
      <w:docPartPr>
        <w:name w:val="893F837C1ABF470DBDB9E5D33EEE39B3"/>
        <w:style w:val=""/>
        <w:category>
          <w:name w:val="常规"/>
          <w:gallery w:val="placeholder"/>
        </w:category>
        <w:types>
          <w:type w:val="bbPlcHdr"/>
        </w:types>
        <w:behaviors>
          <w:behavior w:val="content"/>
        </w:behaviors>
        <w:description w:val=""/>
        <w:guid w:val="{E188F709-09FB-4BB4-B993-218FA862D19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47D"/>
    <w:rsid w:val="0021185E"/>
    <w:rsid w:val="0096747D"/>
    <w:rsid w:val="00A0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505B59D7BF04EE6BACE8A0D5F501B5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32FEE11F480463C8E68B4A2FAB2B55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93F837C1ABF470DBDB9E5D33EEE39B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9</Pages>
  <Words>765</Words>
  <Characters>4365</Characters>
  <Lines>36</Lines>
  <Paragraphs>10</Paragraphs>
  <TotalTime>5</TotalTime>
  <ScaleCrop>false</ScaleCrop>
  <LinksUpToDate>false</LinksUpToDate>
  <CharactersWithSpaces>5120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2023-02-16T15:55:00Z</dcterms:created>
  <dc:creator>liu</dc:creator>
  <dc:description>&lt;config cover="true" show_menu="true" version="1.0.0" doctype="SDKXY"&gt;_x000d_
&lt;/config&gt;</dc:description>
  <cp:lastModifiedBy>baixin</cp:lastModifiedBy>
  <cp:lastPrinted>2024-10-20T23:23:00Z</cp:lastPrinted>
  <dcterms:modified xsi:type="dcterms:W3CDTF">2024-10-29T09:25:13Z</dcterms:modified>
  <dc:title>地方标准</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2052-11.8.2.10290</vt:lpwstr>
  </property>
</Properties>
</file>